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32B884">
      <w:pPr>
        <w:spacing w:before="98" w:line="224" w:lineRule="auto"/>
        <w:ind w:left="4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16"/>
          <w:sz w:val="30"/>
          <w:szCs w:val="30"/>
        </w:rPr>
        <w:t>附</w:t>
      </w:r>
      <w:r>
        <w:rPr>
          <w:rFonts w:ascii="黑体" w:hAnsi="黑体" w:eastAsia="黑体" w:cs="黑体"/>
          <w:spacing w:val="-66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-16"/>
          <w:sz w:val="30"/>
          <w:szCs w:val="30"/>
        </w:rPr>
        <w:t>件</w:t>
      </w:r>
      <w:r>
        <w:rPr>
          <w:rFonts w:ascii="黑体" w:hAnsi="黑体" w:eastAsia="黑体" w:cs="黑体"/>
          <w:spacing w:val="-48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-16"/>
          <w:sz w:val="30"/>
          <w:szCs w:val="30"/>
        </w:rPr>
        <w:t>1</w:t>
      </w:r>
    </w:p>
    <w:p w14:paraId="22AC1089">
      <w:pPr>
        <w:spacing w:line="269" w:lineRule="auto"/>
        <w:rPr>
          <w:rFonts w:ascii="Arial"/>
          <w:sz w:val="21"/>
        </w:rPr>
      </w:pPr>
    </w:p>
    <w:p w14:paraId="51496BB7">
      <w:pPr>
        <w:spacing w:line="269" w:lineRule="auto"/>
        <w:rPr>
          <w:rFonts w:ascii="Arial"/>
          <w:sz w:val="21"/>
        </w:rPr>
      </w:pPr>
    </w:p>
    <w:p w14:paraId="03C04CAC">
      <w:pPr>
        <w:spacing w:before="140" w:line="252" w:lineRule="auto"/>
        <w:ind w:left="3556" w:right="1110" w:hanging="246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4"/>
          <w:sz w:val="43"/>
          <w:szCs w:val="43"/>
        </w:rPr>
        <w:t>2026年度广西科技界智库重点课题</w:t>
      </w:r>
      <w:r>
        <w:rPr>
          <w:rFonts w:ascii="宋体" w:hAnsi="宋体" w:eastAsia="宋体" w:cs="宋体"/>
          <w:spacing w:val="14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-3"/>
          <w:sz w:val="43"/>
          <w:szCs w:val="43"/>
        </w:rPr>
        <w:t>申报指南</w:t>
      </w:r>
    </w:p>
    <w:p w14:paraId="6A342C82">
      <w:pPr>
        <w:spacing w:line="271" w:lineRule="auto"/>
        <w:rPr>
          <w:rFonts w:ascii="Arial"/>
          <w:sz w:val="21"/>
        </w:rPr>
      </w:pPr>
    </w:p>
    <w:p w14:paraId="7E198FB6">
      <w:pPr>
        <w:spacing w:line="271" w:lineRule="auto"/>
        <w:rPr>
          <w:rFonts w:ascii="Arial"/>
          <w:sz w:val="21"/>
        </w:rPr>
      </w:pPr>
    </w:p>
    <w:p w14:paraId="3A1876B5">
      <w:pPr>
        <w:spacing w:before="97" w:line="221" w:lineRule="auto"/>
        <w:ind w:left="634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3"/>
          <w:sz w:val="30"/>
          <w:szCs w:val="30"/>
        </w:rPr>
        <w:t>一</w:t>
      </w:r>
      <w:r>
        <w:rPr>
          <w:rFonts w:ascii="黑体" w:hAnsi="黑体" w:eastAsia="黑体" w:cs="黑体"/>
          <w:spacing w:val="-79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3"/>
          <w:sz w:val="30"/>
          <w:szCs w:val="30"/>
        </w:rPr>
        <w:t>、揭榜类课题</w:t>
      </w:r>
    </w:p>
    <w:p w14:paraId="79E2B273">
      <w:pPr>
        <w:pStyle w:val="2"/>
        <w:spacing w:before="192" w:line="345" w:lineRule="auto"/>
        <w:ind w:right="82" w:firstLine="629"/>
        <w:rPr>
          <w:sz w:val="30"/>
          <w:szCs w:val="30"/>
        </w:rPr>
      </w:pPr>
      <w:r>
        <w:rPr>
          <w:spacing w:val="22"/>
          <w:sz w:val="30"/>
          <w:szCs w:val="30"/>
        </w:rPr>
        <w:t>2026年拟组织开展六项揭榜类课题。申报者应按所给题目</w:t>
      </w:r>
      <w:r>
        <w:rPr>
          <w:spacing w:val="9"/>
          <w:sz w:val="30"/>
          <w:szCs w:val="30"/>
        </w:rPr>
        <w:t xml:space="preserve"> </w:t>
      </w:r>
      <w:r>
        <w:rPr>
          <w:spacing w:val="6"/>
          <w:sz w:val="30"/>
          <w:szCs w:val="30"/>
        </w:rPr>
        <w:t>及其要求开展研究。</w:t>
      </w:r>
    </w:p>
    <w:p w14:paraId="75303DE6">
      <w:pPr>
        <w:spacing w:line="225" w:lineRule="auto"/>
        <w:ind w:left="809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spacing w:val="17"/>
          <w:sz w:val="30"/>
          <w:szCs w:val="30"/>
        </w:rPr>
        <w:t>(</w:t>
      </w:r>
      <w:r>
        <w:rPr>
          <w:rFonts w:ascii="楷体" w:hAnsi="楷体" w:eastAsia="楷体" w:cs="楷体"/>
          <w:spacing w:val="-76"/>
          <w:sz w:val="30"/>
          <w:szCs w:val="30"/>
        </w:rPr>
        <w:t xml:space="preserve"> </w:t>
      </w:r>
      <w:r>
        <w:rPr>
          <w:rFonts w:ascii="楷体" w:hAnsi="楷体" w:eastAsia="楷体" w:cs="楷体"/>
          <w:spacing w:val="17"/>
          <w:sz w:val="30"/>
          <w:szCs w:val="30"/>
        </w:rPr>
        <w:t>一</w:t>
      </w:r>
      <w:r>
        <w:rPr>
          <w:rFonts w:ascii="楷体" w:hAnsi="楷体" w:eastAsia="楷体" w:cs="楷体"/>
          <w:spacing w:val="-90"/>
          <w:sz w:val="30"/>
          <w:szCs w:val="30"/>
        </w:rPr>
        <w:t xml:space="preserve"> </w:t>
      </w:r>
      <w:r>
        <w:rPr>
          <w:rFonts w:ascii="楷体" w:hAnsi="楷体" w:eastAsia="楷体" w:cs="楷体"/>
          <w:spacing w:val="17"/>
          <w:sz w:val="30"/>
          <w:szCs w:val="30"/>
        </w:rPr>
        <w:t>)课题内容</w:t>
      </w:r>
    </w:p>
    <w:p w14:paraId="34F20080">
      <w:pPr>
        <w:pStyle w:val="2"/>
        <w:spacing w:before="198" w:line="220" w:lineRule="auto"/>
        <w:ind w:left="634"/>
        <w:rPr>
          <w:sz w:val="30"/>
          <w:szCs w:val="30"/>
        </w:rPr>
      </w:pPr>
      <w:r>
        <w:rPr>
          <w:b/>
          <w:bCs/>
          <w:spacing w:val="14"/>
          <w:sz w:val="30"/>
          <w:szCs w:val="30"/>
        </w:rPr>
        <w:t>课题1:面向东盟的广西人工智能资源整合与跨境合作研究</w:t>
      </w:r>
    </w:p>
    <w:p w14:paraId="3520D138">
      <w:pPr>
        <w:pStyle w:val="2"/>
        <w:tabs>
          <w:tab w:val="left" w:pos="359"/>
        </w:tabs>
        <w:spacing w:before="200" w:line="345" w:lineRule="auto"/>
        <w:ind w:firstLine="634"/>
        <w:rPr>
          <w:sz w:val="30"/>
          <w:szCs w:val="30"/>
        </w:rPr>
      </w:pPr>
      <w:r>
        <w:rPr>
          <w:b/>
          <w:bCs/>
          <w:spacing w:val="11"/>
          <w:sz w:val="30"/>
          <w:szCs w:val="30"/>
        </w:rPr>
        <w:t>研究内容：</w:t>
      </w:r>
      <w:r>
        <w:rPr>
          <w:spacing w:val="11"/>
          <w:sz w:val="30"/>
          <w:szCs w:val="30"/>
        </w:rPr>
        <w:t>2026年自治区政府工作报告提出，突出策略、集</w:t>
      </w:r>
      <w:r>
        <w:rPr>
          <w:spacing w:val="14"/>
          <w:sz w:val="30"/>
          <w:szCs w:val="30"/>
        </w:rPr>
        <w:t xml:space="preserve"> </w:t>
      </w:r>
      <w:r>
        <w:rPr>
          <w:spacing w:val="1"/>
          <w:sz w:val="30"/>
          <w:szCs w:val="30"/>
        </w:rPr>
        <w:t>成、应用、开放、安全，推动人工智能产业集聚发展，打造面向东</w:t>
      </w:r>
      <w:r>
        <w:rPr>
          <w:spacing w:val="11"/>
          <w:sz w:val="30"/>
          <w:szCs w:val="30"/>
        </w:rPr>
        <w:t xml:space="preserve"> </w:t>
      </w:r>
      <w:r>
        <w:rPr>
          <w:spacing w:val="1"/>
          <w:sz w:val="30"/>
          <w:szCs w:val="30"/>
        </w:rPr>
        <w:t>盟的人工智能国际合作高地。本课题通过全面梳理面向东盟的人工</w:t>
      </w:r>
      <w:r>
        <w:rPr>
          <w:sz w:val="30"/>
          <w:szCs w:val="30"/>
        </w:rPr>
        <w:t xml:space="preserve"> </w:t>
      </w:r>
      <w:r>
        <w:rPr>
          <w:spacing w:val="1"/>
          <w:sz w:val="30"/>
          <w:szCs w:val="30"/>
        </w:rPr>
        <w:t>智能资源优势与东盟人工智能市场需求，深入分析广西与东盟在人</w:t>
      </w:r>
      <w:r>
        <w:rPr>
          <w:spacing w:val="18"/>
          <w:sz w:val="30"/>
          <w:szCs w:val="30"/>
        </w:rPr>
        <w:t xml:space="preserve"> </w:t>
      </w:r>
      <w:r>
        <w:rPr>
          <w:spacing w:val="1"/>
          <w:sz w:val="30"/>
          <w:szCs w:val="30"/>
        </w:rPr>
        <w:t>工智能跨境合作与产业协同等方面存在问题及适配性，围绕广西面</w:t>
      </w:r>
      <w:r>
        <w:rPr>
          <w:spacing w:val="5"/>
          <w:sz w:val="30"/>
          <w:szCs w:val="30"/>
        </w:rPr>
        <w:t xml:space="preserve"> </w:t>
      </w:r>
      <w:r>
        <w:rPr>
          <w:sz w:val="30"/>
          <w:szCs w:val="30"/>
        </w:rPr>
        <w:t>向东盟的人工智能资源整合、产业链协同发展战略和跨境合作的精</w:t>
      </w:r>
      <w:r>
        <w:rPr>
          <w:spacing w:val="8"/>
          <w:sz w:val="30"/>
          <w:szCs w:val="30"/>
        </w:rPr>
        <w:t xml:space="preserve"> </w:t>
      </w:r>
      <w:r>
        <w:rPr>
          <w:spacing w:val="1"/>
          <w:sz w:val="30"/>
          <w:szCs w:val="30"/>
        </w:rPr>
        <w:t>准对接机制、人才引育、标准互认、风险防控机制等方面提出对策</w:t>
      </w:r>
      <w:r>
        <w:rPr>
          <w:spacing w:val="2"/>
          <w:sz w:val="30"/>
          <w:szCs w:val="30"/>
        </w:rPr>
        <w:t xml:space="preserve"> </w:t>
      </w:r>
      <w:r>
        <w:rPr>
          <w:spacing w:val="1"/>
          <w:sz w:val="30"/>
          <w:szCs w:val="30"/>
        </w:rPr>
        <w:t>建议，为整理、优化面向东盟的人工智能企业资源清单，建设中国</w:t>
      </w:r>
      <w:r>
        <w:rPr>
          <w:spacing w:val="17"/>
          <w:sz w:val="30"/>
          <w:szCs w:val="30"/>
        </w:rPr>
        <w:t xml:space="preserve"> </w:t>
      </w:r>
      <w:r>
        <w:rPr>
          <w:sz w:val="30"/>
          <w:szCs w:val="30"/>
          <w:u w:val="single" w:color="auto"/>
        </w:rPr>
        <w:tab/>
      </w:r>
      <w:r>
        <w:rPr>
          <w:spacing w:val="-122"/>
          <w:sz w:val="30"/>
          <w:szCs w:val="30"/>
        </w:rPr>
        <w:t xml:space="preserve"> </w:t>
      </w:r>
      <w:r>
        <w:rPr>
          <w:spacing w:val="1"/>
          <w:sz w:val="30"/>
          <w:szCs w:val="30"/>
        </w:rPr>
        <w:t>东盟人工智能创新合作中心，构建广西面向东盟人工智能跨境合</w:t>
      </w:r>
      <w:r>
        <w:rPr>
          <w:sz w:val="30"/>
          <w:szCs w:val="30"/>
        </w:rPr>
        <w:t xml:space="preserve"> </w:t>
      </w:r>
      <w:r>
        <w:rPr>
          <w:spacing w:val="-1"/>
          <w:sz w:val="30"/>
          <w:szCs w:val="30"/>
        </w:rPr>
        <w:t>作长效机制提供决策参考。</w:t>
      </w:r>
    </w:p>
    <w:p w14:paraId="77F0FA4A">
      <w:pPr>
        <w:pStyle w:val="2"/>
        <w:spacing w:before="10" w:line="351" w:lineRule="auto"/>
        <w:ind w:left="4" w:right="81" w:firstLine="629"/>
        <w:rPr>
          <w:sz w:val="30"/>
          <w:szCs w:val="30"/>
        </w:rPr>
      </w:pPr>
      <w:r>
        <w:rPr>
          <w:b/>
          <w:bCs/>
          <w:spacing w:val="20"/>
          <w:sz w:val="30"/>
          <w:szCs w:val="30"/>
        </w:rPr>
        <w:t>课题2:平陆运河通航背景下多式联运与向海产业集群</w:t>
      </w:r>
      <w:r>
        <w:rPr>
          <w:b/>
          <w:bCs/>
          <w:spacing w:val="19"/>
          <w:sz w:val="30"/>
          <w:szCs w:val="30"/>
        </w:rPr>
        <w:t>联动</w:t>
      </w:r>
      <w:r>
        <w:rPr>
          <w:sz w:val="30"/>
          <w:szCs w:val="30"/>
        </w:rPr>
        <w:t xml:space="preserve"> </w:t>
      </w:r>
      <w:r>
        <w:rPr>
          <w:b/>
          <w:bCs/>
          <w:spacing w:val="14"/>
          <w:sz w:val="30"/>
          <w:szCs w:val="30"/>
        </w:rPr>
        <w:t>发展机制研究</w:t>
      </w:r>
    </w:p>
    <w:p w14:paraId="06B61B78">
      <w:pPr>
        <w:spacing w:line="351" w:lineRule="auto"/>
        <w:rPr>
          <w:sz w:val="30"/>
          <w:szCs w:val="30"/>
        </w:rPr>
        <w:sectPr>
          <w:footerReference r:id="rId5" w:type="default"/>
          <w:pgSz w:w="11900" w:h="16840"/>
          <w:pgMar w:top="1431" w:right="1683" w:bottom="1487" w:left="1400" w:header="0" w:footer="1093" w:gutter="0"/>
          <w:cols w:space="720" w:num="1"/>
        </w:sectPr>
      </w:pPr>
    </w:p>
    <w:p w14:paraId="4312B3B1">
      <w:pPr>
        <w:spacing w:line="289" w:lineRule="auto"/>
        <w:rPr>
          <w:rFonts w:ascii="Arial"/>
          <w:sz w:val="21"/>
        </w:rPr>
      </w:pPr>
    </w:p>
    <w:p w14:paraId="64B25B03">
      <w:pPr>
        <w:spacing w:line="289" w:lineRule="auto"/>
        <w:rPr>
          <w:rFonts w:ascii="Arial"/>
          <w:sz w:val="21"/>
        </w:rPr>
      </w:pPr>
    </w:p>
    <w:p w14:paraId="3932D7A4">
      <w:pPr>
        <w:pStyle w:val="2"/>
        <w:spacing w:before="101" w:line="334" w:lineRule="auto"/>
        <w:ind w:right="34" w:firstLine="649"/>
        <w:jc w:val="both"/>
      </w:pPr>
      <w:r>
        <w:rPr>
          <w:spacing w:val="2"/>
        </w:rPr>
        <w:t>研究内容：平陆运河是西部陆海新通道的骨干工程，是广西</w:t>
      </w:r>
      <w:r>
        <w:rPr>
          <w:spacing w:val="7"/>
        </w:rPr>
        <w:t xml:space="preserve"> </w:t>
      </w:r>
      <w:r>
        <w:rPr>
          <w:spacing w:val="2"/>
        </w:rPr>
        <w:t>所盼、江海联运、山海协同的重大项目，将于今年全线通航。自</w:t>
      </w:r>
      <w:r>
        <w:rPr>
          <w:spacing w:val="12"/>
        </w:rPr>
        <w:t xml:space="preserve"> </w:t>
      </w:r>
      <w:r>
        <w:rPr>
          <w:spacing w:val="2"/>
        </w:rPr>
        <w:t>治区“十五五”规划建议提出，着力打造平陆运河经济带，大力</w:t>
      </w:r>
      <w:r>
        <w:rPr>
          <w:spacing w:val="3"/>
        </w:rPr>
        <w:t xml:space="preserve"> </w:t>
      </w:r>
      <w:r>
        <w:rPr>
          <w:spacing w:val="2"/>
        </w:rPr>
        <w:t>发展“江铁海”多式联运，打通对外连接的堵点卡点，构建上下</w:t>
      </w:r>
      <w:r>
        <w:rPr>
          <w:spacing w:val="7"/>
        </w:rPr>
        <w:t xml:space="preserve"> </w:t>
      </w:r>
      <w:r>
        <w:rPr>
          <w:spacing w:val="2"/>
        </w:rPr>
        <w:t>游一体、多维支撑、区域联动的现代产业生态体系。本课题要求</w:t>
      </w:r>
      <w:r>
        <w:rPr>
          <w:spacing w:val="7"/>
        </w:rPr>
        <w:t xml:space="preserve"> </w:t>
      </w:r>
      <w:r>
        <w:rPr>
          <w:spacing w:val="2"/>
        </w:rPr>
        <w:t>立足平陆运河通航的发展新机遇，系统梳理广西多式联运与向海</w:t>
      </w:r>
      <w:r>
        <w:rPr>
          <w:spacing w:val="4"/>
        </w:rPr>
        <w:t xml:space="preserve"> </w:t>
      </w:r>
      <w:r>
        <w:rPr>
          <w:spacing w:val="2"/>
        </w:rPr>
        <w:t>产业集群发展现状，深入分析全区多式联运与向海产业集群联动</w:t>
      </w:r>
      <w:r>
        <w:rPr>
          <w:spacing w:val="13"/>
        </w:rPr>
        <w:t xml:space="preserve"> </w:t>
      </w:r>
      <w:r>
        <w:rPr>
          <w:spacing w:val="3"/>
        </w:rPr>
        <w:t>发展、高效协同等方面存在问题，围绕多式联运提</w:t>
      </w:r>
      <w:r>
        <w:rPr>
          <w:spacing w:val="2"/>
        </w:rPr>
        <w:t>质、产业布局</w:t>
      </w:r>
      <w:r>
        <w:t xml:space="preserve"> </w:t>
      </w:r>
      <w:r>
        <w:rPr>
          <w:spacing w:val="2"/>
        </w:rPr>
        <w:t>优化、政策保障完善等方面提出对策建议，为提升全区向海产业</w:t>
      </w:r>
      <w:r>
        <w:rPr>
          <w:spacing w:val="3"/>
        </w:rPr>
        <w:t xml:space="preserve"> </w:t>
      </w:r>
      <w:r>
        <w:rPr>
          <w:spacing w:val="2"/>
        </w:rPr>
        <w:t>集群整体效能、推动平陆运河经济带建设、服务广西向海图强发</w:t>
      </w:r>
      <w:r>
        <w:rPr>
          <w:spacing w:val="7"/>
        </w:rPr>
        <w:t xml:space="preserve"> </w:t>
      </w:r>
      <w:r>
        <w:rPr>
          <w:spacing w:val="-1"/>
        </w:rPr>
        <w:t>展提供决策参考。</w:t>
      </w:r>
    </w:p>
    <w:p w14:paraId="65355E48">
      <w:pPr>
        <w:pStyle w:val="2"/>
        <w:spacing w:before="8" w:line="220" w:lineRule="auto"/>
        <w:ind w:left="654"/>
      </w:pPr>
      <w:r>
        <w:rPr>
          <w:b/>
          <w:bCs/>
          <w:spacing w:val="15"/>
        </w:rPr>
        <w:t>课题3:广西先进钢铁材料产业高质量发展对策研究</w:t>
      </w:r>
    </w:p>
    <w:p w14:paraId="555C7A63">
      <w:pPr>
        <w:pStyle w:val="2"/>
        <w:spacing w:before="202" w:line="333" w:lineRule="auto"/>
        <w:ind w:firstLine="649"/>
        <w:jc w:val="both"/>
      </w:pPr>
      <w:r>
        <w:rPr>
          <w:spacing w:val="3"/>
        </w:rPr>
        <w:t>研究内容：钢铁产业是国民经济的重要基础</w:t>
      </w:r>
      <w:r>
        <w:rPr>
          <w:spacing w:val="2"/>
        </w:rPr>
        <w:t>产业，是保障产</w:t>
      </w:r>
      <w:r>
        <w:t xml:space="preserve"> </w:t>
      </w:r>
      <w:r>
        <w:rPr>
          <w:spacing w:val="2"/>
        </w:rPr>
        <w:t>业链供应链安全稳定、支撑高端装备制造、新能源、海洋工程等</w:t>
      </w:r>
      <w:r>
        <w:rPr>
          <w:spacing w:val="12"/>
        </w:rPr>
        <w:t xml:space="preserve"> </w:t>
      </w:r>
      <w:r>
        <w:rPr>
          <w:spacing w:val="4"/>
        </w:rPr>
        <w:t>战略性新兴产业突破升级的核心基础原材料保障。自治区党委、</w:t>
      </w:r>
      <w:r>
        <w:rPr>
          <w:spacing w:val="12"/>
        </w:rPr>
        <w:t xml:space="preserve"> </w:t>
      </w:r>
      <w:r>
        <w:rPr>
          <w:spacing w:val="2"/>
        </w:rPr>
        <w:t>政府高度重视先进钢铁材料产业布局，明确提出要重点打造包括</w:t>
      </w:r>
      <w:r>
        <w:rPr>
          <w:spacing w:val="4"/>
        </w:rPr>
        <w:t xml:space="preserve"> </w:t>
      </w:r>
      <w:r>
        <w:rPr>
          <w:spacing w:val="2"/>
        </w:rPr>
        <w:t>先进钢铁材料在内的制造业十大现代化支柱产业。本课题要求系 统梳理广西先进钢铁材料产业发展现状，深入分析广西先进钢铁</w:t>
      </w:r>
      <w:r>
        <w:rPr>
          <w:spacing w:val="7"/>
        </w:rPr>
        <w:t xml:space="preserve"> </w:t>
      </w:r>
      <w:r>
        <w:rPr>
          <w:spacing w:val="4"/>
        </w:rPr>
        <w:t>材料产业在全链条科技创新、核心竞争力提升等方面存在问题，</w:t>
      </w:r>
      <w:r>
        <w:rPr>
          <w:spacing w:val="11"/>
        </w:rPr>
        <w:t xml:space="preserve"> </w:t>
      </w:r>
      <w:r>
        <w:rPr>
          <w:spacing w:val="3"/>
        </w:rPr>
        <w:t>借鉴国内钢铁产业强省、行业龙头标杆企业案例经验，围绕高端</w:t>
      </w:r>
      <w:r>
        <w:rPr>
          <w:spacing w:val="8"/>
        </w:rPr>
        <w:t xml:space="preserve"> </w:t>
      </w:r>
      <w:r>
        <w:rPr>
          <w:spacing w:val="2"/>
        </w:rPr>
        <w:t>材料研发、协同创新体系构建、创新链产业链深度融合、创新生</w:t>
      </w:r>
      <w:r>
        <w:rPr>
          <w:spacing w:val="8"/>
        </w:rPr>
        <w:t xml:space="preserve"> </w:t>
      </w:r>
      <w:r>
        <w:rPr>
          <w:spacing w:val="2"/>
        </w:rPr>
        <w:t>态优化等方面提出对策建议，为推动广西先进钢铁材料产业高质</w:t>
      </w:r>
    </w:p>
    <w:p w14:paraId="368A0A6E">
      <w:pPr>
        <w:spacing w:line="333" w:lineRule="auto"/>
        <w:sectPr>
          <w:footerReference r:id="rId6" w:type="default"/>
          <w:pgSz w:w="11900" w:h="16840"/>
          <w:pgMar w:top="1431" w:right="1664" w:bottom="1466" w:left="1430" w:header="0" w:footer="1064" w:gutter="0"/>
          <w:cols w:space="720" w:num="1"/>
        </w:sectPr>
      </w:pPr>
    </w:p>
    <w:p w14:paraId="644456AE">
      <w:pPr>
        <w:spacing w:line="286" w:lineRule="auto"/>
        <w:rPr>
          <w:rFonts w:ascii="Arial"/>
          <w:sz w:val="21"/>
        </w:rPr>
      </w:pPr>
    </w:p>
    <w:p w14:paraId="1951B6B3">
      <w:pPr>
        <w:spacing w:line="286" w:lineRule="auto"/>
        <w:rPr>
          <w:rFonts w:ascii="Arial"/>
          <w:sz w:val="21"/>
        </w:rPr>
      </w:pPr>
    </w:p>
    <w:p w14:paraId="495B7142">
      <w:pPr>
        <w:pStyle w:val="2"/>
        <w:spacing w:before="101" w:line="377" w:lineRule="auto"/>
        <w:ind w:right="73"/>
        <w:rPr>
          <w:sz w:val="24"/>
          <w:szCs w:val="24"/>
        </w:rPr>
      </w:pPr>
      <w:r>
        <w:t>量发展，实现产业发展与区域经济高质量发展同频共振提供决策</w:t>
      </w:r>
      <w:r>
        <w:rPr>
          <w:spacing w:val="11"/>
        </w:rPr>
        <w:t xml:space="preserve"> </w:t>
      </w:r>
      <w:r>
        <w:rPr>
          <w:spacing w:val="-13"/>
          <w:sz w:val="24"/>
          <w:szCs w:val="24"/>
        </w:rPr>
        <w:t>参</w:t>
      </w:r>
      <w:r>
        <w:rPr>
          <w:spacing w:val="-16"/>
          <w:sz w:val="24"/>
          <w:szCs w:val="24"/>
        </w:rPr>
        <w:t xml:space="preserve"> </w:t>
      </w:r>
      <w:r>
        <w:rPr>
          <w:spacing w:val="-13"/>
          <w:sz w:val="24"/>
          <w:szCs w:val="24"/>
        </w:rPr>
        <w:t>考</w:t>
      </w:r>
      <w:r>
        <w:rPr>
          <w:spacing w:val="-35"/>
          <w:sz w:val="24"/>
          <w:szCs w:val="24"/>
        </w:rPr>
        <w:t xml:space="preserve"> </w:t>
      </w:r>
      <w:r>
        <w:rPr>
          <w:spacing w:val="-13"/>
          <w:sz w:val="24"/>
          <w:szCs w:val="24"/>
        </w:rPr>
        <w:t>。</w:t>
      </w:r>
    </w:p>
    <w:p w14:paraId="0C4D8E4E">
      <w:pPr>
        <w:pStyle w:val="2"/>
        <w:spacing w:before="2" w:line="222" w:lineRule="auto"/>
        <w:ind w:left="664"/>
      </w:pPr>
      <w:r>
        <w:rPr>
          <w:b/>
          <w:bCs/>
          <w:spacing w:val="14"/>
        </w:rPr>
        <w:t>课题4:促进广西甘蔗全产业链高质量发展研究</w:t>
      </w:r>
    </w:p>
    <w:p w14:paraId="74B325D4">
      <w:pPr>
        <w:pStyle w:val="2"/>
        <w:spacing w:before="169" w:line="334" w:lineRule="auto"/>
        <w:ind w:right="26" w:firstLine="659"/>
        <w:jc w:val="both"/>
      </w:pPr>
      <w:r>
        <w:rPr>
          <w:spacing w:val="1"/>
        </w:rPr>
        <w:t>研究内容：我国高度重视蔗糖产业安全与高</w:t>
      </w:r>
      <w:r>
        <w:t xml:space="preserve">质量发展，广西 </w:t>
      </w:r>
      <w:r>
        <w:rPr>
          <w:spacing w:val="1"/>
        </w:rPr>
        <w:t>作为全国最大的甘蔗和蔗糖生产基地，甘蔗产业在保障国家食糖</w:t>
      </w:r>
      <w:r>
        <w:rPr>
          <w:spacing w:val="4"/>
        </w:rPr>
        <w:t xml:space="preserve"> </w:t>
      </w:r>
      <w:r>
        <w:rPr>
          <w:spacing w:val="1"/>
        </w:rPr>
        <w:t>供给安全、促进边疆民族地区乡村振兴中具有不可替代的战略地</w:t>
      </w:r>
      <w:r>
        <w:rPr>
          <w:spacing w:val="4"/>
        </w:rPr>
        <w:t xml:space="preserve"> </w:t>
      </w:r>
      <w:r>
        <w:rPr>
          <w:spacing w:val="1"/>
        </w:rPr>
        <w:t xml:space="preserve">位。本课题要求系统梳理广西甘蔗全产业链发展现状，深入分析 </w:t>
      </w:r>
      <w:r>
        <w:t>当前产业链在种质创新、机械化水平、糖业循环经济、政策支持</w:t>
      </w:r>
      <w:r>
        <w:rPr>
          <w:spacing w:val="8"/>
        </w:rPr>
        <w:t xml:space="preserve"> </w:t>
      </w:r>
      <w:r>
        <w:rPr>
          <w:spacing w:val="1"/>
        </w:rPr>
        <w:t>体系、利益联结机制等方面存在问题，围绕甘蔗全产业链协同升</w:t>
      </w:r>
      <w:r>
        <w:rPr>
          <w:spacing w:val="4"/>
        </w:rPr>
        <w:t xml:space="preserve"> </w:t>
      </w:r>
      <w:r>
        <w:rPr>
          <w:spacing w:val="1"/>
        </w:rPr>
        <w:t>级、科技创新赋能、绿色低碳转型、产业政策优化、联农带农机</w:t>
      </w:r>
      <w:r>
        <w:t xml:space="preserve"> </w:t>
      </w:r>
      <w:r>
        <w:rPr>
          <w:spacing w:val="1"/>
        </w:rPr>
        <w:t>制完善等方面提出对策建议，为促进广西甘蔗全产业链高质量发</w:t>
      </w:r>
      <w:r>
        <w:rPr>
          <w:spacing w:val="4"/>
        </w:rPr>
        <w:t xml:space="preserve"> </w:t>
      </w:r>
      <w:r>
        <w:rPr>
          <w:spacing w:val="2"/>
        </w:rPr>
        <w:t>展、加快广西现代特色农业发展提供决策参考。</w:t>
      </w:r>
    </w:p>
    <w:p w14:paraId="6BCE21F7">
      <w:pPr>
        <w:pStyle w:val="2"/>
        <w:spacing w:line="222" w:lineRule="auto"/>
        <w:ind w:left="664"/>
      </w:pPr>
      <w:r>
        <w:rPr>
          <w:b/>
          <w:bCs/>
          <w:spacing w:val="12"/>
        </w:rPr>
        <w:t>课题5:打造广西科普研学游产业研究</w:t>
      </w:r>
    </w:p>
    <w:p w14:paraId="1579FAE4">
      <w:pPr>
        <w:pStyle w:val="2"/>
        <w:spacing w:before="176" w:line="334" w:lineRule="auto"/>
        <w:ind w:firstLine="659"/>
        <w:jc w:val="both"/>
      </w:pPr>
      <w:r>
        <w:t>研究内容：科普研学游是推动科普与文旅深度融合、提升全</w:t>
      </w:r>
      <w:r>
        <w:rPr>
          <w:spacing w:val="17"/>
        </w:rPr>
        <w:t xml:space="preserve"> </w:t>
      </w:r>
      <w:r>
        <w:rPr>
          <w:spacing w:val="1"/>
        </w:rPr>
        <w:t>民科学素质、培育新兴消费增长点的重要抓手。广西拥有独特的</w:t>
      </w:r>
      <w:r>
        <w:rPr>
          <w:spacing w:val="11"/>
        </w:rPr>
        <w:t xml:space="preserve"> </w:t>
      </w:r>
      <w:r>
        <w:t>自然景观、丰富的民族文化资源和日益完善的科普基础设施，具</w:t>
      </w:r>
      <w:r>
        <w:rPr>
          <w:spacing w:val="9"/>
        </w:rPr>
        <w:t xml:space="preserve"> </w:t>
      </w:r>
      <w:r>
        <w:rPr>
          <w:spacing w:val="1"/>
        </w:rPr>
        <w:t>备发展科普研学游产业的巨大潜力。本课题要求调研区内现有科</w:t>
      </w:r>
      <w:r>
        <w:rPr>
          <w:spacing w:val="3"/>
        </w:rPr>
        <w:t xml:space="preserve"> </w:t>
      </w:r>
      <w:r>
        <w:rPr>
          <w:spacing w:val="1"/>
        </w:rPr>
        <w:t xml:space="preserve">普研学基地建设、课程开发、线路设计、市场主体培育、品牌推 </w:t>
      </w:r>
      <w:r>
        <w:rPr>
          <w:spacing w:val="3"/>
        </w:rPr>
        <w:t>广等方面的总体情况，系统梳理广西科普与文化、旅游产业融合</w:t>
      </w:r>
      <w:r>
        <w:rPr>
          <w:spacing w:val="1"/>
        </w:rPr>
        <w:t xml:space="preserve"> </w:t>
      </w:r>
      <w:r>
        <w:rPr>
          <w:spacing w:val="2"/>
        </w:rPr>
        <w:t>发展的现状，深入分析产业在资源整合利用、产品体系开发、专</w:t>
      </w:r>
      <w:r>
        <w:rPr>
          <w:spacing w:val="7"/>
        </w:rPr>
        <w:t xml:space="preserve"> </w:t>
      </w:r>
      <w:r>
        <w:rPr>
          <w:spacing w:val="1"/>
        </w:rPr>
        <w:t>业人才支撑、标准化建设、政策协同、市场运营机制等方面存在</w:t>
      </w:r>
      <w:r>
        <w:rPr>
          <w:spacing w:val="3"/>
        </w:rPr>
        <w:t xml:space="preserve"> </w:t>
      </w:r>
      <w:r>
        <w:rPr>
          <w:spacing w:val="1"/>
        </w:rPr>
        <w:t>的突出问题和制约因素，借鉴国内外科普研学游产业发达地区的</w:t>
      </w:r>
    </w:p>
    <w:p w14:paraId="7A843A63">
      <w:pPr>
        <w:spacing w:line="334" w:lineRule="auto"/>
        <w:sectPr>
          <w:footerReference r:id="rId7" w:type="default"/>
          <w:pgSz w:w="11900" w:h="16840"/>
          <w:pgMar w:top="1431" w:right="1713" w:bottom="1506" w:left="1420" w:header="0" w:footer="1104" w:gutter="0"/>
          <w:cols w:space="720" w:num="1"/>
        </w:sectPr>
      </w:pPr>
    </w:p>
    <w:p w14:paraId="35E2DBE2">
      <w:pPr>
        <w:spacing w:line="301" w:lineRule="auto"/>
        <w:rPr>
          <w:rFonts w:ascii="Arial"/>
          <w:sz w:val="21"/>
        </w:rPr>
      </w:pPr>
    </w:p>
    <w:p w14:paraId="58F31103">
      <w:pPr>
        <w:spacing w:line="302" w:lineRule="auto"/>
        <w:rPr>
          <w:rFonts w:ascii="Arial"/>
          <w:sz w:val="21"/>
        </w:rPr>
      </w:pPr>
    </w:p>
    <w:p w14:paraId="7034D52F">
      <w:pPr>
        <w:pStyle w:val="2"/>
        <w:spacing w:before="101" w:line="334" w:lineRule="auto"/>
        <w:jc w:val="both"/>
      </w:pPr>
      <w:r>
        <w:rPr>
          <w:spacing w:val="-4"/>
        </w:rPr>
        <w:t>成功经验，围绕优化科普研学空间布局、打造特色研学品牌线路、</w:t>
      </w:r>
      <w:r>
        <w:t xml:space="preserve"> </w:t>
      </w:r>
      <w:r>
        <w:rPr>
          <w:spacing w:val="2"/>
        </w:rPr>
        <w:t>开发分层分类课程内容、培育龙头运营主体、完善</w:t>
      </w:r>
      <w:r>
        <w:rPr>
          <w:spacing w:val="1"/>
        </w:rPr>
        <w:t>行业标准与质</w:t>
      </w:r>
      <w:r>
        <w:t xml:space="preserve">  </w:t>
      </w:r>
      <w:r>
        <w:rPr>
          <w:spacing w:val="14"/>
        </w:rPr>
        <w:t>量评价体系、健全多方协同的产业推进机制</w:t>
      </w:r>
      <w:r>
        <w:rPr>
          <w:spacing w:val="13"/>
        </w:rPr>
        <w:t>等方面提出对策建</w:t>
      </w:r>
      <w:r>
        <w:t xml:space="preserve"> </w:t>
      </w:r>
      <w:r>
        <w:rPr>
          <w:spacing w:val="2"/>
        </w:rPr>
        <w:t>议，探索适合广西的科普研学游产业发展模式，为将科普研学游</w:t>
      </w:r>
      <w:r>
        <w:rPr>
          <w:spacing w:val="1"/>
        </w:rPr>
        <w:t xml:space="preserve">  </w:t>
      </w:r>
      <w:r>
        <w:rPr>
          <w:spacing w:val="2"/>
        </w:rPr>
        <w:t>培育成为广西文旅产业新增长点、服务全民科学素质提升和经济</w:t>
      </w:r>
      <w:r>
        <w:rPr>
          <w:spacing w:val="7"/>
        </w:rPr>
        <w:t xml:space="preserve"> </w:t>
      </w:r>
      <w:r>
        <w:rPr>
          <w:spacing w:val="1"/>
        </w:rPr>
        <w:t>社会高质量发展提供决策参考。</w:t>
      </w:r>
    </w:p>
    <w:p w14:paraId="06F69A62">
      <w:pPr>
        <w:pStyle w:val="2"/>
        <w:spacing w:before="9" w:line="222" w:lineRule="auto"/>
        <w:ind w:left="674"/>
      </w:pPr>
      <w:r>
        <w:rPr>
          <w:b/>
          <w:bCs/>
          <w:spacing w:val="15"/>
        </w:rPr>
        <w:t>课题6:广西科技小院可持续发展政策体系研究</w:t>
      </w:r>
    </w:p>
    <w:p w14:paraId="2171520B">
      <w:pPr>
        <w:pStyle w:val="2"/>
        <w:spacing w:before="179" w:line="333" w:lineRule="auto"/>
        <w:ind w:right="60" w:firstLine="669"/>
        <w:jc w:val="both"/>
      </w:pPr>
      <w:r>
        <w:rPr>
          <w:spacing w:val="2"/>
        </w:rPr>
        <w:t>研究内容：科技小院是推动农业科技创新、人才下沉服务乡</w:t>
      </w:r>
      <w:r>
        <w:rPr>
          <w:spacing w:val="7"/>
        </w:rPr>
        <w:t xml:space="preserve"> </w:t>
      </w:r>
      <w:r>
        <w:rPr>
          <w:spacing w:val="2"/>
        </w:rPr>
        <w:t>村振兴的重要平台，完善可持续发展政策体系对广西科技小院长</w:t>
      </w:r>
      <w:r>
        <w:rPr>
          <w:spacing w:val="12"/>
        </w:rPr>
        <w:t xml:space="preserve"> </w:t>
      </w:r>
      <w:r>
        <w:rPr>
          <w:spacing w:val="2"/>
        </w:rPr>
        <w:t>效运行意义重大。本课题要求梳理国家及自治区现有科</w:t>
      </w:r>
      <w:r>
        <w:rPr>
          <w:spacing w:val="1"/>
        </w:rPr>
        <w:t>技小院相</w:t>
      </w:r>
      <w:r>
        <w:t xml:space="preserve"> </w:t>
      </w:r>
      <w:r>
        <w:rPr>
          <w:spacing w:val="2"/>
        </w:rPr>
        <w:t>关扶持政策，调研区内典型科技小院建设运营现状，深入剖析其</w:t>
      </w:r>
      <w:r>
        <w:rPr>
          <w:spacing w:val="4"/>
        </w:rPr>
        <w:t xml:space="preserve"> </w:t>
      </w:r>
      <w:r>
        <w:rPr>
          <w:spacing w:val="2"/>
        </w:rPr>
        <w:t>在统筹协调、经费保障、人才激励、校地合作、成果转化、考核 评价等方面存在的短板与制约因素。围绕统筹协同机制、财政支</w:t>
      </w:r>
      <w:r>
        <w:rPr>
          <w:spacing w:val="6"/>
        </w:rPr>
        <w:t xml:space="preserve"> </w:t>
      </w:r>
      <w:r>
        <w:rPr>
          <w:spacing w:val="3"/>
        </w:rPr>
        <w:t>持政策、人才引育激励、成果转化机制、绩效评价体</w:t>
      </w:r>
      <w:r>
        <w:rPr>
          <w:spacing w:val="2"/>
        </w:rPr>
        <w:t>系、产业服</w:t>
      </w:r>
      <w:r>
        <w:t xml:space="preserve"> </w:t>
      </w:r>
      <w:r>
        <w:rPr>
          <w:spacing w:val="2"/>
        </w:rPr>
        <w:t>务保障等关键环节，构建契合广西特色农业发展的科技小院可持 续发展政策框架，提出务实可行的对策建议，为规范科技小院建</w:t>
      </w:r>
      <w:r>
        <w:rPr>
          <w:spacing w:val="4"/>
        </w:rPr>
        <w:t xml:space="preserve"> </w:t>
      </w:r>
      <w:r>
        <w:rPr>
          <w:spacing w:val="5"/>
        </w:rPr>
        <w:t>设运行、提升农业科技服务效能、助力乡村振兴</w:t>
      </w:r>
      <w:r>
        <w:rPr>
          <w:spacing w:val="4"/>
        </w:rPr>
        <w:t>提供决策参考。</w:t>
      </w:r>
    </w:p>
    <w:p w14:paraId="32F1F508">
      <w:pPr>
        <w:spacing w:line="224" w:lineRule="auto"/>
        <w:ind w:left="789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30"/>
          <w:sz w:val="31"/>
          <w:szCs w:val="31"/>
        </w:rPr>
        <w:t>(二)研究期限</w:t>
      </w:r>
    </w:p>
    <w:p w14:paraId="29B28E5F">
      <w:pPr>
        <w:pStyle w:val="2"/>
        <w:spacing w:before="212" w:line="220" w:lineRule="auto"/>
        <w:ind w:left="669"/>
      </w:pPr>
      <w:r>
        <w:rPr>
          <w:spacing w:val="21"/>
        </w:rPr>
        <w:t>自立项通知发布之日起，至2026年11月30日止。</w:t>
      </w:r>
    </w:p>
    <w:p w14:paraId="02547B28">
      <w:pPr>
        <w:spacing w:before="169" w:line="223" w:lineRule="auto"/>
        <w:ind w:left="769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33"/>
          <w:sz w:val="31"/>
          <w:szCs w:val="31"/>
        </w:rPr>
        <w:t>(三)经费安排</w:t>
      </w:r>
    </w:p>
    <w:p w14:paraId="6C5B2691">
      <w:pPr>
        <w:pStyle w:val="2"/>
        <w:spacing w:before="207" w:line="334" w:lineRule="auto"/>
        <w:ind w:right="107" w:firstLine="639"/>
      </w:pPr>
      <w:r>
        <w:rPr>
          <w:spacing w:val="14"/>
        </w:rPr>
        <w:t>每个课题资助经费4.5万元。课题经费实行“包干制”</w:t>
      </w:r>
      <w:r>
        <w:rPr>
          <w:spacing w:val="13"/>
        </w:rPr>
        <w:t>,不</w:t>
      </w:r>
      <w:r>
        <w:t xml:space="preserve"> </w:t>
      </w:r>
      <w:r>
        <w:rPr>
          <w:spacing w:val="4"/>
        </w:rPr>
        <w:t>足部分由承担单位自行安排配套资金或自筹解决。</w:t>
      </w:r>
    </w:p>
    <w:p w14:paraId="4AB913C2">
      <w:pPr>
        <w:spacing w:line="334" w:lineRule="auto"/>
        <w:sectPr>
          <w:footerReference r:id="rId8" w:type="default"/>
          <w:pgSz w:w="11900" w:h="16840"/>
          <w:pgMar w:top="1431" w:right="1605" w:bottom="1446" w:left="1420" w:header="0" w:footer="1044" w:gutter="0"/>
          <w:cols w:space="720" w:num="1"/>
        </w:sectPr>
      </w:pPr>
    </w:p>
    <w:p w14:paraId="33C3DA5E">
      <w:pPr>
        <w:spacing w:line="296" w:lineRule="auto"/>
        <w:rPr>
          <w:rFonts w:ascii="Arial"/>
          <w:sz w:val="21"/>
        </w:rPr>
      </w:pPr>
    </w:p>
    <w:p w14:paraId="291CD766">
      <w:pPr>
        <w:spacing w:line="296" w:lineRule="auto"/>
        <w:rPr>
          <w:rFonts w:ascii="Arial"/>
          <w:sz w:val="21"/>
        </w:rPr>
      </w:pPr>
    </w:p>
    <w:p w14:paraId="326BCD5E">
      <w:pPr>
        <w:spacing w:before="101" w:line="224" w:lineRule="auto"/>
        <w:ind w:left="789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8"/>
          <w:sz w:val="31"/>
          <w:szCs w:val="31"/>
        </w:rPr>
        <w:t>(四)成果要求</w:t>
      </w:r>
    </w:p>
    <w:p w14:paraId="32400154">
      <w:pPr>
        <w:pStyle w:val="2"/>
        <w:spacing w:before="196" w:line="222" w:lineRule="auto"/>
        <w:ind w:left="709"/>
      </w:pPr>
      <w:r>
        <w:rPr>
          <w:rFonts w:ascii="宋体" w:hAnsi="宋体" w:eastAsia="宋体" w:cs="宋体"/>
          <w:spacing w:val="11"/>
        </w:rPr>
        <w:t>1.</w:t>
      </w:r>
      <w:r>
        <w:rPr>
          <w:spacing w:val="11"/>
        </w:rPr>
        <w:t>不少于2万字的研究报告1份；</w:t>
      </w:r>
    </w:p>
    <w:p w14:paraId="16D999B3">
      <w:pPr>
        <w:pStyle w:val="2"/>
        <w:spacing w:before="187" w:line="222" w:lineRule="auto"/>
        <w:ind w:left="649"/>
      </w:pPr>
      <w:r>
        <w:rPr>
          <w:rFonts w:ascii="宋体" w:hAnsi="宋体" w:eastAsia="宋体" w:cs="宋体"/>
          <w:spacing w:val="13"/>
        </w:rPr>
        <w:t>2.</w:t>
      </w:r>
      <w:r>
        <w:rPr>
          <w:spacing w:val="13"/>
        </w:rPr>
        <w:t>约3500字的决策咨询专报2份；</w:t>
      </w:r>
    </w:p>
    <w:p w14:paraId="62596FE1">
      <w:pPr>
        <w:pStyle w:val="2"/>
        <w:spacing w:before="173" w:line="275" w:lineRule="auto"/>
        <w:ind w:left="29" w:right="133" w:firstLine="619"/>
      </w:pPr>
      <w:r>
        <w:rPr>
          <w:spacing w:val="13"/>
        </w:rPr>
        <w:t>3.课题研究内容要求形成的其他成果或课题组申报时自行</w:t>
      </w:r>
      <w:r>
        <w:rPr>
          <w:spacing w:val="2"/>
        </w:rPr>
        <w:t xml:space="preserve"> </w:t>
      </w:r>
      <w:r>
        <w:rPr>
          <w:spacing w:val="-5"/>
        </w:rPr>
        <w:t>提出的其他成果；</w:t>
      </w:r>
    </w:p>
    <w:p w14:paraId="4E058E30">
      <w:pPr>
        <w:pStyle w:val="2"/>
        <w:spacing w:before="200" w:line="306" w:lineRule="auto"/>
        <w:ind w:left="29" w:right="127" w:firstLine="619"/>
      </w:pPr>
      <w:r>
        <w:rPr>
          <w:rFonts w:ascii="宋体" w:hAnsi="宋体" w:eastAsia="宋体" w:cs="宋体"/>
          <w:spacing w:val="1"/>
        </w:rPr>
        <w:t>4.</w:t>
      </w:r>
      <w:r>
        <w:rPr>
          <w:spacing w:val="1"/>
        </w:rPr>
        <w:t>课题研究报告及决策咨询专报，要求全文总文字复制比不</w:t>
      </w:r>
      <w:r>
        <w:rPr>
          <w:spacing w:val="9"/>
        </w:rPr>
        <w:t xml:space="preserve"> </w:t>
      </w:r>
      <w:r>
        <w:rPr>
          <w:spacing w:val="26"/>
        </w:rPr>
        <w:t>超过20%,</w:t>
      </w:r>
      <w:r>
        <w:rPr>
          <w:rFonts w:ascii="Times New Roman" w:hAnsi="Times New Roman" w:eastAsia="Times New Roman" w:cs="Times New Roman"/>
        </w:rPr>
        <w:t>AIGC</w:t>
      </w:r>
      <w:r>
        <w:rPr>
          <w:rFonts w:ascii="Times New Roman" w:hAnsi="Times New Roman" w:eastAsia="Times New Roman" w:cs="Times New Roman"/>
          <w:spacing w:val="48"/>
        </w:rPr>
        <w:t xml:space="preserve"> </w:t>
      </w:r>
      <w:r>
        <w:rPr>
          <w:spacing w:val="26"/>
        </w:rPr>
        <w:t>特征值不得超过20%,其中主要研</w:t>
      </w:r>
      <w:r>
        <w:rPr>
          <w:spacing w:val="25"/>
        </w:rPr>
        <w:t>究结论和对</w:t>
      </w:r>
      <w:r>
        <w:t xml:space="preserve"> </w:t>
      </w:r>
      <w:r>
        <w:rPr>
          <w:spacing w:val="6"/>
        </w:rPr>
        <w:t>策措施的文字复制比不超过10%。课题组发表的与本课题相关且</w:t>
      </w:r>
      <w:r>
        <w:rPr>
          <w:spacing w:val="13"/>
        </w:rPr>
        <w:t xml:space="preserve"> </w:t>
      </w:r>
      <w:r>
        <w:rPr>
          <w:spacing w:val="12"/>
        </w:rPr>
        <w:t>标注为自治区科协专项立项的研究成果(论文、著作等)中的文</w:t>
      </w:r>
      <w:r>
        <w:rPr>
          <w:spacing w:val="6"/>
        </w:rPr>
        <w:t xml:space="preserve"> </w:t>
      </w:r>
      <w:r>
        <w:rPr>
          <w:spacing w:val="-4"/>
        </w:rPr>
        <w:t>字不计入文字复制比。</w:t>
      </w:r>
    </w:p>
    <w:p w14:paraId="682965F5">
      <w:pPr>
        <w:spacing w:before="222" w:line="227" w:lineRule="auto"/>
        <w:ind w:left="789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9"/>
          <w:sz w:val="31"/>
          <w:szCs w:val="31"/>
        </w:rPr>
        <w:t>(五)结题形式</w:t>
      </w:r>
    </w:p>
    <w:p w14:paraId="79C45F8A">
      <w:pPr>
        <w:pStyle w:val="2"/>
        <w:spacing w:before="173" w:line="336" w:lineRule="auto"/>
        <w:ind w:left="29" w:right="100" w:firstLine="619"/>
      </w:pPr>
      <w:r>
        <w:rPr>
          <w:spacing w:val="2"/>
        </w:rPr>
        <w:t>系统提交结项材料，并进行现场答辩。经评审验收通过的，</w:t>
      </w:r>
      <w:r>
        <w:rPr>
          <w:spacing w:val="11"/>
        </w:rPr>
        <w:t xml:space="preserve"> </w:t>
      </w:r>
      <w:r>
        <w:rPr>
          <w:spacing w:val="-3"/>
        </w:rPr>
        <w:t>自治区科协将颁给结题证书。</w:t>
      </w:r>
    </w:p>
    <w:p w14:paraId="45F075E8">
      <w:pPr>
        <w:spacing w:before="2" w:line="220" w:lineRule="auto"/>
        <w:ind w:left="65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z w:val="31"/>
          <w:szCs w:val="31"/>
        </w:rPr>
        <w:t>二、自选类课题</w:t>
      </w:r>
    </w:p>
    <w:p w14:paraId="43F98383">
      <w:pPr>
        <w:pStyle w:val="2"/>
        <w:spacing w:before="191" w:line="222" w:lineRule="auto"/>
        <w:ind w:left="649"/>
      </w:pPr>
      <w:r>
        <w:rPr>
          <w:spacing w:val="2"/>
        </w:rPr>
        <w:t>自选类课题是指由课题组自拟题目，自筹经费</w:t>
      </w:r>
      <w:r>
        <w:rPr>
          <w:spacing w:val="1"/>
        </w:rPr>
        <w:t>的课题。</w:t>
      </w:r>
    </w:p>
    <w:p w14:paraId="4E539ED4">
      <w:pPr>
        <w:spacing w:before="189" w:line="229" w:lineRule="auto"/>
        <w:ind w:left="794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24"/>
          <w:sz w:val="31"/>
          <w:szCs w:val="31"/>
        </w:rPr>
        <w:t>(一)研究方向</w:t>
      </w:r>
    </w:p>
    <w:p w14:paraId="11194B23">
      <w:pPr>
        <w:pStyle w:val="2"/>
        <w:spacing w:before="166" w:line="333" w:lineRule="auto"/>
        <w:ind w:left="29" w:firstLine="619"/>
        <w:jc w:val="both"/>
      </w:pPr>
      <w:r>
        <w:rPr>
          <w:spacing w:val="2"/>
        </w:rPr>
        <w:t>全面贯彻党的二十大和二十届历次全会精神，深入贯彻落实</w:t>
      </w:r>
      <w:r>
        <w:rPr>
          <w:spacing w:val="5"/>
        </w:rPr>
        <w:t xml:space="preserve"> </w:t>
      </w:r>
      <w:r>
        <w:rPr>
          <w:spacing w:val="3"/>
        </w:rPr>
        <w:t>习近平总书记关于广西工作论述的重要要求，围绕自治区党委、</w:t>
      </w:r>
      <w:r>
        <w:rPr>
          <w:spacing w:val="10"/>
        </w:rPr>
        <w:t xml:space="preserve"> </w:t>
      </w:r>
      <w:r>
        <w:rPr>
          <w:spacing w:val="2"/>
        </w:rPr>
        <w:t>政府工作布局、中心任务、重点工作，聚焦“十五</w:t>
      </w:r>
      <w:r>
        <w:rPr>
          <w:spacing w:val="1"/>
        </w:rPr>
        <w:t>五”时期打造</w:t>
      </w:r>
      <w:r>
        <w:t xml:space="preserve"> </w:t>
      </w:r>
      <w:r>
        <w:rPr>
          <w:spacing w:val="3"/>
        </w:rPr>
        <w:t>十大现代化支柱产业、推进高水平创新型广西建设等战略部署，</w:t>
      </w:r>
      <w:r>
        <w:rPr>
          <w:spacing w:val="10"/>
        </w:rPr>
        <w:t xml:space="preserve"> </w:t>
      </w:r>
      <w:r>
        <w:rPr>
          <w:spacing w:val="-5"/>
        </w:rPr>
        <w:t>紧扣科技经济融合、科技创新、科学普及、人才培养、科研环</w:t>
      </w:r>
      <w:r>
        <w:rPr>
          <w:spacing w:val="-6"/>
        </w:rPr>
        <w:t>境、</w:t>
      </w:r>
      <w:r>
        <w:t xml:space="preserve"> </w:t>
      </w:r>
      <w:r>
        <w:rPr>
          <w:spacing w:val="2"/>
        </w:rPr>
        <w:t>科技政策等方面的重点、难点和热点问题，有针对性地开展调研</w:t>
      </w:r>
    </w:p>
    <w:p w14:paraId="6D3A1282">
      <w:pPr>
        <w:spacing w:line="333" w:lineRule="auto"/>
        <w:sectPr>
          <w:footerReference r:id="rId9" w:type="default"/>
          <w:pgSz w:w="11900" w:h="16840"/>
          <w:pgMar w:top="1431" w:right="1615" w:bottom="1436" w:left="1410" w:header="0" w:footer="1133" w:gutter="0"/>
          <w:cols w:space="720" w:num="1"/>
        </w:sectPr>
      </w:pPr>
    </w:p>
    <w:p w14:paraId="17C408DF">
      <w:pPr>
        <w:spacing w:line="296" w:lineRule="auto"/>
        <w:rPr>
          <w:rFonts w:ascii="Arial"/>
          <w:sz w:val="21"/>
        </w:rPr>
      </w:pPr>
    </w:p>
    <w:p w14:paraId="268F78D7">
      <w:pPr>
        <w:spacing w:line="297" w:lineRule="auto"/>
        <w:rPr>
          <w:rFonts w:ascii="Arial"/>
          <w:sz w:val="21"/>
        </w:rPr>
      </w:pPr>
    </w:p>
    <w:p w14:paraId="2FAC5668">
      <w:pPr>
        <w:pStyle w:val="2"/>
        <w:spacing w:before="101" w:line="332" w:lineRule="auto"/>
        <w:ind w:right="20"/>
        <w:jc w:val="both"/>
      </w:pPr>
      <w:r>
        <w:rPr>
          <w:spacing w:val="2"/>
        </w:rPr>
        <w:t>课题研究，以“小切口”研究成果服务全区高质量发展。研究为</w:t>
      </w:r>
      <w:r>
        <w:t xml:space="preserve"> </w:t>
      </w:r>
      <w:r>
        <w:rPr>
          <w:spacing w:val="2"/>
        </w:rPr>
        <w:t>公共政策性研究，一般需包含存在的问题、现状，并提出对策建</w:t>
      </w:r>
      <w:r>
        <w:rPr>
          <w:spacing w:val="14"/>
        </w:rPr>
        <w:t xml:space="preserve"> </w:t>
      </w:r>
      <w:r>
        <w:rPr>
          <w:spacing w:val="2"/>
        </w:rPr>
        <w:t>议。</w:t>
      </w:r>
      <w:r>
        <w:rPr>
          <w:b/>
          <w:bCs/>
          <w:spacing w:val="2"/>
        </w:rPr>
        <w:t>纯技术性研究类课题不在申报立项范围内。</w:t>
      </w:r>
    </w:p>
    <w:p w14:paraId="594F80CF">
      <w:pPr>
        <w:spacing w:line="226" w:lineRule="auto"/>
        <w:ind w:left="769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30"/>
          <w:sz w:val="31"/>
          <w:szCs w:val="31"/>
        </w:rPr>
        <w:t>(二)研究时限</w:t>
      </w:r>
    </w:p>
    <w:p w14:paraId="4C30C3BF">
      <w:pPr>
        <w:pStyle w:val="2"/>
        <w:spacing w:before="204" w:line="220" w:lineRule="auto"/>
        <w:ind w:left="699"/>
      </w:pPr>
      <w:r>
        <w:rPr>
          <w:spacing w:val="20"/>
        </w:rPr>
        <w:t>自立项通知发布之日起，至2026年11月30日止。</w:t>
      </w:r>
    </w:p>
    <w:p w14:paraId="405D3410">
      <w:pPr>
        <w:spacing w:before="178" w:line="223" w:lineRule="auto"/>
        <w:ind w:left="769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30"/>
          <w:sz w:val="31"/>
          <w:szCs w:val="31"/>
        </w:rPr>
        <w:t>(三)经费安排</w:t>
      </w:r>
    </w:p>
    <w:p w14:paraId="3A365E1A">
      <w:pPr>
        <w:pStyle w:val="2"/>
        <w:spacing w:before="188" w:line="221" w:lineRule="auto"/>
        <w:ind w:left="629"/>
      </w:pPr>
      <w:r>
        <w:rPr>
          <w:spacing w:val="4"/>
        </w:rPr>
        <w:t>课题研究经费由承担单位或课题组自行安排和筹集。</w:t>
      </w:r>
    </w:p>
    <w:p w14:paraId="6DDB52D6">
      <w:pPr>
        <w:spacing w:before="190" w:line="224" w:lineRule="auto"/>
        <w:ind w:left="769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9"/>
          <w:sz w:val="31"/>
          <w:szCs w:val="31"/>
        </w:rPr>
        <w:t>(四)成果要求</w:t>
      </w:r>
    </w:p>
    <w:p w14:paraId="3FA377AF">
      <w:pPr>
        <w:pStyle w:val="2"/>
        <w:spacing w:before="196" w:line="222" w:lineRule="auto"/>
        <w:ind w:left="629"/>
      </w:pPr>
      <w:r>
        <w:rPr>
          <w:spacing w:val="16"/>
        </w:rPr>
        <w:t>1.不少于1万字的研究报告1份。</w:t>
      </w:r>
    </w:p>
    <w:p w14:paraId="26F99EFA">
      <w:pPr>
        <w:pStyle w:val="2"/>
        <w:spacing w:before="187" w:line="222" w:lineRule="auto"/>
        <w:ind w:left="629"/>
      </w:pPr>
      <w:r>
        <w:rPr>
          <w:rFonts w:ascii="宋体" w:hAnsi="宋体" w:eastAsia="宋体" w:cs="宋体"/>
          <w:spacing w:val="19"/>
        </w:rPr>
        <w:t>2.</w:t>
      </w:r>
      <w:r>
        <w:rPr>
          <w:spacing w:val="19"/>
        </w:rPr>
        <w:t>约3000字的决策咨询专报1份或理论文章1份。</w:t>
      </w:r>
    </w:p>
    <w:p w14:paraId="1EAFD231">
      <w:pPr>
        <w:pStyle w:val="2"/>
        <w:spacing w:before="187" w:line="311" w:lineRule="auto"/>
        <w:ind w:firstLine="629"/>
      </w:pPr>
      <w:r>
        <w:rPr>
          <w:rFonts w:ascii="宋体" w:hAnsi="宋体" w:eastAsia="宋体" w:cs="宋体"/>
          <w:spacing w:val="2"/>
        </w:rPr>
        <w:t>3.</w:t>
      </w:r>
      <w:r>
        <w:rPr>
          <w:spacing w:val="2"/>
        </w:rPr>
        <w:t>课题研究报告及决策咨询专报，要求全文总文字复制比不</w:t>
      </w:r>
      <w:r>
        <w:rPr>
          <w:spacing w:val="12"/>
        </w:rPr>
        <w:t xml:space="preserve"> </w:t>
      </w:r>
      <w:r>
        <w:rPr>
          <w:spacing w:val="28"/>
        </w:rPr>
        <w:t>超过20%,</w:t>
      </w:r>
      <w:r>
        <w:rPr>
          <w:rFonts w:ascii="Times New Roman" w:hAnsi="Times New Roman" w:eastAsia="Times New Roman" w:cs="Times New Roman"/>
        </w:rPr>
        <w:t>AIGC</w:t>
      </w:r>
      <w:r>
        <w:rPr>
          <w:rFonts w:ascii="Times New Roman" w:hAnsi="Times New Roman" w:eastAsia="Times New Roman" w:cs="Times New Roman"/>
          <w:spacing w:val="49"/>
        </w:rPr>
        <w:t xml:space="preserve"> </w:t>
      </w:r>
      <w:r>
        <w:rPr>
          <w:spacing w:val="28"/>
        </w:rPr>
        <w:t>特征值不得超过20%,其中主要研究结论和对</w:t>
      </w:r>
      <w:r>
        <w:t xml:space="preserve"> </w:t>
      </w:r>
      <w:r>
        <w:rPr>
          <w:spacing w:val="8"/>
        </w:rPr>
        <w:t>策措施的文字复制比不超过10%。课题组发表的与</w:t>
      </w:r>
      <w:r>
        <w:rPr>
          <w:spacing w:val="7"/>
        </w:rPr>
        <w:t>本课题相关且</w:t>
      </w:r>
      <w:r>
        <w:t xml:space="preserve"> </w:t>
      </w:r>
      <w:r>
        <w:rPr>
          <w:spacing w:val="14"/>
        </w:rPr>
        <w:t>标注为自治区科协专项立项的研究成果(论</w:t>
      </w:r>
      <w:r>
        <w:rPr>
          <w:spacing w:val="13"/>
        </w:rPr>
        <w:t>文、著作等)中的文</w:t>
      </w:r>
      <w:r>
        <w:t xml:space="preserve"> </w:t>
      </w:r>
      <w:r>
        <w:rPr>
          <w:spacing w:val="-1"/>
        </w:rPr>
        <w:t>字不计入文字复制比。</w:t>
      </w:r>
    </w:p>
    <w:p w14:paraId="4921A535">
      <w:pPr>
        <w:spacing w:before="167" w:line="227" w:lineRule="auto"/>
        <w:ind w:left="774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26"/>
          <w:sz w:val="31"/>
          <w:szCs w:val="31"/>
        </w:rPr>
        <w:t>(五)结题形式</w:t>
      </w:r>
    </w:p>
    <w:p w14:paraId="36D01BBB">
      <w:pPr>
        <w:pStyle w:val="2"/>
        <w:spacing w:before="206" w:line="330" w:lineRule="auto"/>
        <w:ind w:right="16" w:firstLine="629"/>
      </w:pPr>
      <w:r>
        <w:rPr>
          <w:spacing w:val="15"/>
        </w:rPr>
        <w:t>系统提交结项材料。经自治区科协组织集中评审验收通过</w:t>
      </w:r>
      <w:r>
        <w:t xml:space="preserve"> </w:t>
      </w:r>
      <w:r>
        <w:rPr>
          <w:spacing w:val="-3"/>
        </w:rPr>
        <w:t>的，将颁给结题证书。</w:t>
      </w:r>
    </w:p>
    <w:p w14:paraId="65CF9767">
      <w:pPr>
        <w:spacing w:line="330" w:lineRule="auto"/>
        <w:sectPr>
          <w:footerReference r:id="rId10" w:type="default"/>
          <w:pgSz w:w="11900" w:h="16840"/>
          <w:pgMar w:top="1431" w:right="1688" w:bottom="1446" w:left="1440" w:header="0" w:footer="1044" w:gutter="0"/>
          <w:cols w:space="720" w:num="1"/>
        </w:sectPr>
      </w:pPr>
    </w:p>
    <w:p w14:paraId="159C890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C68D1F">
    <w:pPr>
      <w:pStyle w:val="2"/>
      <w:spacing w:line="236" w:lineRule="auto"/>
      <w:rPr>
        <w:sz w:val="30"/>
        <w:szCs w:val="30"/>
      </w:rPr>
    </w:pPr>
    <w:r>
      <w:rPr>
        <w:spacing w:val="-4"/>
        <w:sz w:val="30"/>
        <w:szCs w:val="30"/>
      </w:rPr>
      <w:t>—4—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C20F4F">
    <w:pPr>
      <w:spacing w:line="233" w:lineRule="auto"/>
      <w:ind w:left="7809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4"/>
        <w:sz w:val="31"/>
        <w:szCs w:val="31"/>
      </w:rPr>
      <w:t>—5—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7E45AB">
    <w:pPr>
      <w:spacing w:line="233" w:lineRule="auto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4"/>
        <w:sz w:val="31"/>
        <w:szCs w:val="31"/>
      </w:rPr>
      <w:t>—6—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00CA63">
    <w:pPr>
      <w:spacing w:line="233" w:lineRule="auto"/>
      <w:ind w:left="7799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4"/>
        <w:sz w:val="31"/>
        <w:szCs w:val="31"/>
      </w:rPr>
      <w:t>—7—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8CC4EE">
    <w:pPr>
      <w:spacing w:line="174" w:lineRule="auto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10"/>
        <w:sz w:val="31"/>
        <w:szCs w:val="31"/>
      </w:rPr>
      <w:t>—</w:t>
    </w:r>
    <w:r>
      <w:rPr>
        <w:rFonts w:ascii="宋体" w:hAnsi="宋体" w:eastAsia="宋体" w:cs="宋体"/>
        <w:spacing w:val="-55"/>
        <w:sz w:val="31"/>
        <w:szCs w:val="31"/>
      </w:rPr>
      <w:t xml:space="preserve"> </w:t>
    </w:r>
    <w:r>
      <w:rPr>
        <w:rFonts w:ascii="Times New Roman" w:hAnsi="Times New Roman" w:eastAsia="Times New Roman" w:cs="Times New Roman"/>
        <w:spacing w:val="-10"/>
        <w:sz w:val="31"/>
        <w:szCs w:val="31"/>
      </w:rPr>
      <w:t>8</w:t>
    </w:r>
    <w:r>
      <w:rPr>
        <w:rFonts w:ascii="Times New Roman" w:hAnsi="Times New Roman" w:eastAsia="Times New Roman" w:cs="Times New Roman"/>
        <w:spacing w:val="66"/>
        <w:sz w:val="31"/>
        <w:szCs w:val="31"/>
      </w:rPr>
      <w:t xml:space="preserve"> </w:t>
    </w:r>
    <w:r>
      <w:rPr>
        <w:rFonts w:ascii="宋体" w:hAnsi="宋体" w:eastAsia="宋体" w:cs="宋体"/>
        <w:spacing w:val="-10"/>
        <w:sz w:val="31"/>
        <w:szCs w:val="31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56C3C6">
    <w:pPr>
      <w:spacing w:line="233" w:lineRule="auto"/>
      <w:jc w:val="right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26"/>
        <w:w w:val="99"/>
        <w:sz w:val="31"/>
        <w:szCs w:val="31"/>
      </w:rPr>
      <w:t>—</w:t>
    </w:r>
    <w:r>
      <w:rPr>
        <w:rFonts w:ascii="宋体" w:hAnsi="宋体" w:eastAsia="宋体" w:cs="宋体"/>
        <w:spacing w:val="-25"/>
        <w:w w:val="99"/>
        <w:sz w:val="31"/>
        <w:szCs w:val="31"/>
      </w:rPr>
      <w:t>9</w:t>
    </w:r>
    <w:r>
      <w:rPr>
        <w:rFonts w:ascii="宋体" w:hAnsi="宋体" w:eastAsia="宋体" w:cs="宋体"/>
        <w:spacing w:val="93"/>
        <w:sz w:val="31"/>
        <w:szCs w:val="31"/>
      </w:rPr>
      <w:t xml:space="preserve"> </w:t>
    </w:r>
    <w:r>
      <w:rPr>
        <w:rFonts w:ascii="宋体" w:hAnsi="宋体" w:eastAsia="宋体" w:cs="宋体"/>
        <w:spacing w:val="-9"/>
        <w:w w:val="99"/>
        <w:sz w:val="31"/>
        <w:szCs w:val="31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E221C5"/>
    <w:rsid w:val="0EBB2B45"/>
    <w:rsid w:val="1A165258"/>
    <w:rsid w:val="1BBA3C0B"/>
    <w:rsid w:val="22971313"/>
    <w:rsid w:val="288B34CC"/>
    <w:rsid w:val="2A761AD2"/>
    <w:rsid w:val="34244E94"/>
    <w:rsid w:val="450F52C4"/>
    <w:rsid w:val="45F84382"/>
    <w:rsid w:val="476419D3"/>
    <w:rsid w:val="6F087F44"/>
    <w:rsid w:val="70BD42E0"/>
    <w:rsid w:val="734D50F6"/>
    <w:rsid w:val="78CE401E"/>
    <w:rsid w:val="79F304F3"/>
    <w:rsid w:val="7A853A8D"/>
    <w:rsid w:val="7EFC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2024-12-30T01:06:00Z</dcterms:created>
  <dc:creator>Administrator</dc:creator>
  <cp:lastModifiedBy>刘晓霞</cp:lastModifiedBy>
  <dcterms:modified xsi:type="dcterms:W3CDTF">2026-04-10T06:29:00Z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6AD60191F7FE45A0AD90017679966636_12</vt:lpwstr>
  </property>
  <property fmtid="{D5CDD505-2E9C-101B-9397-08002B2CF9AE}" pid="4" name="KSOTemplateDocerSaveRecord">
    <vt:lpwstr>eyJoZGlkIjoiYWEzODI0MWM2MDRlMjY4NGU4ZjY5YmIxNGM3Njc5N2EiLCJ1c2VySWQiOiIyNjYwMTI1MjEifQ==</vt:lpwstr>
  </property>
</Properties>
</file>