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27EF0">
      <w:pPr>
        <w:wordWrap w:val="0"/>
        <w:jc w:val="center"/>
        <w:rPr>
          <w:rFonts w:ascii="黑体" w:eastAsia="黑体"/>
          <w:szCs w:val="21"/>
        </w:rPr>
      </w:pPr>
    </w:p>
    <w:p w14:paraId="025595B7">
      <w:pPr>
        <w:jc w:val="center"/>
        <w:rPr>
          <w:rFonts w:hint="eastAsia" w:ascii="仿宋_GB2312"/>
          <w:szCs w:val="21"/>
        </w:rPr>
      </w:pPr>
    </w:p>
    <w:p w14:paraId="2440C6A3">
      <w:pPr>
        <w:spacing w:line="640" w:lineRule="exact"/>
        <w:jc w:val="center"/>
        <w:rPr>
          <w:rFonts w:hint="eastAsia" w:ascii="仿宋_GB2312"/>
          <w:color w:val="FF0000"/>
          <w:szCs w:val="21"/>
        </w:rPr>
      </w:pPr>
    </w:p>
    <w:p w14:paraId="1869C207">
      <w:pPr>
        <w:spacing w:line="1000" w:lineRule="exact"/>
        <w:jc w:val="center"/>
        <w:rPr>
          <w:rFonts w:hint="eastAsia" w:ascii="方正小标宋_GBK" w:hAnsi="华文中宋" w:eastAsia="方正小标宋_GBK" w:cs="宋体-18030"/>
          <w:bCs/>
          <w:color w:val="FF0000"/>
          <w:spacing w:val="112"/>
          <w:sz w:val="52"/>
          <w:szCs w:val="52"/>
        </w:rPr>
      </w:pPr>
      <w:r>
        <w:rPr>
          <w:rFonts w:hint="eastAsia" w:ascii="方正小标宋_GBK" w:hAnsi="华文中宋" w:eastAsia="方正小标宋_GBK" w:cs="宋体-18030"/>
          <w:bCs/>
          <w:color w:val="FF0000"/>
          <w:spacing w:val="112"/>
          <w:sz w:val="52"/>
          <w:szCs w:val="52"/>
        </w:rPr>
        <w:t>广西壮族自治区</w:t>
      </w:r>
    </w:p>
    <w:p w14:paraId="0CB35425">
      <w:pPr>
        <w:spacing w:line="500" w:lineRule="exact"/>
        <w:jc w:val="center"/>
        <w:rPr>
          <w:rFonts w:hint="eastAsia" w:ascii="方正小标宋_GBK" w:hAnsi="华文中宋" w:eastAsia="方正小标宋_GBK" w:cs="宋体-18030"/>
          <w:bCs/>
          <w:color w:val="FF0000"/>
          <w:spacing w:val="34"/>
          <w:sz w:val="52"/>
          <w:szCs w:val="52"/>
        </w:rPr>
      </w:pPr>
    </w:p>
    <w:p w14:paraId="154B0D1E">
      <w:pPr>
        <w:spacing w:line="1000" w:lineRule="exact"/>
        <w:jc w:val="center"/>
        <w:rPr>
          <w:rFonts w:hint="eastAsia" w:ascii="方正小标宋_GBK" w:hAnsi="华文中宋" w:eastAsia="方正小标宋_GBK" w:cs="宋体-18030"/>
          <w:bCs/>
          <w:color w:val="FF0000"/>
          <w:spacing w:val="54"/>
          <w:kern w:val="0"/>
          <w:sz w:val="72"/>
          <w:szCs w:val="72"/>
        </w:rPr>
      </w:pPr>
      <w:r>
        <w:rPr>
          <w:rFonts w:hint="eastAsia" w:ascii="方正小标宋_GBK" w:hAnsi="华文中宋" w:eastAsia="方正小标宋_GBK" w:cs="宋体-18030"/>
          <w:bCs/>
          <w:color w:val="FF0000"/>
          <w:spacing w:val="54"/>
          <w:kern w:val="0"/>
          <w:sz w:val="72"/>
          <w:szCs w:val="72"/>
        </w:rPr>
        <w:t>发展和改革委员会文件</w:t>
      </w:r>
    </w:p>
    <w:p w14:paraId="37881DA6">
      <w:pPr>
        <w:spacing w:line="600" w:lineRule="atLeast"/>
        <w:jc w:val="center"/>
        <w:rPr>
          <w:rFonts w:hint="eastAsia" w:ascii="仿宋_GB2312"/>
          <w:color w:val="FFFFFF"/>
          <w:szCs w:val="21"/>
        </w:rPr>
      </w:pPr>
    </w:p>
    <w:p w14:paraId="66F94D4A">
      <w:pPr>
        <w:jc w:val="center"/>
        <w:rPr>
          <w:rFonts w:hint="eastAsia" w:ascii="仿宋_GB2312"/>
          <w:szCs w:val="21"/>
        </w:rPr>
      </w:pPr>
      <w:r>
        <w:rPr>
          <w:rFonts w:hint="eastAsia" w:ascii="仿宋_GB2312"/>
          <w:szCs w:val="21"/>
          <w:lang w:eastAsia="zh-CN"/>
        </w:rPr>
        <w:t>桂发改高技</w:t>
      </w:r>
      <w:r>
        <w:rPr>
          <w:rFonts w:hint="eastAsia" w:ascii="仿宋_GB2312"/>
          <w:szCs w:val="21"/>
        </w:rPr>
        <w:t>〔</w:t>
      </w:r>
      <w:r>
        <w:rPr>
          <w:rFonts w:hint="eastAsia" w:ascii="仿宋_GB2312"/>
          <w:szCs w:val="21"/>
          <w:lang w:eastAsia="zh-CN"/>
        </w:rPr>
        <w:t>2025</w:t>
      </w:r>
      <w:r>
        <w:rPr>
          <w:rFonts w:hint="eastAsia" w:ascii="仿宋_GB2312"/>
          <w:szCs w:val="21"/>
        </w:rPr>
        <w:t>〕</w:t>
      </w:r>
      <w:r>
        <w:rPr>
          <w:rFonts w:hint="eastAsia" w:ascii="仿宋_GB2312"/>
          <w:szCs w:val="21"/>
          <w:lang w:eastAsia="zh-CN"/>
        </w:rPr>
        <w:t>560</w:t>
      </w:r>
      <w:r>
        <w:rPr>
          <w:rFonts w:hint="eastAsia" w:ascii="仿宋_GB2312"/>
          <w:szCs w:val="21"/>
        </w:rPr>
        <w:t>号</w:t>
      </w:r>
    </w:p>
    <w:p w14:paraId="55FD31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109220</wp:posOffset>
                </wp:positionV>
                <wp:extent cx="5675630" cy="635"/>
                <wp:effectExtent l="0" t="13970" r="1270" b="23495"/>
                <wp:wrapNone/>
                <wp:docPr id="1" name="任意多边形 16"/>
                <wp:cNvGraphicFramePr/>
                <a:graphic xmlns:a="http://schemas.openxmlformats.org/drawingml/2006/main">
                  <a:graphicData uri="http://schemas.microsoft.com/office/word/2010/wordprocessingShape">
                    <wps:wsp>
                      <wps:cNvSpPr/>
                      <wps:spPr>
                        <a:xfrm>
                          <a:off x="0" y="0"/>
                          <a:ext cx="5675630" cy="635"/>
                        </a:xfrm>
                        <a:custGeom>
                          <a:avLst/>
                          <a:gdLst/>
                          <a:ahLst/>
                          <a:cxnLst/>
                          <a:pathLst>
                            <a:path w="8938" h="1">
                              <a:moveTo>
                                <a:pt x="0" y="1"/>
                              </a:moveTo>
                              <a:lnTo>
                                <a:pt x="8938" y="0"/>
                              </a:lnTo>
                            </a:path>
                          </a:pathLst>
                        </a:custGeom>
                        <a:solidFill>
                          <a:srgbClr val="FF0000"/>
                        </a:solidFill>
                        <a:ln w="28575" cap="flat" cmpd="sng">
                          <a:solidFill>
                            <a:srgbClr val="FF0000"/>
                          </a:solidFill>
                          <a:prstDash val="solid"/>
                          <a:headEnd type="none" w="med" len="med"/>
                          <a:tailEnd type="none" w="med" len="med"/>
                        </a:ln>
                      </wps:spPr>
                      <wps:bodyPr wrap="square" upright="1"/>
                    </wps:wsp>
                  </a:graphicData>
                </a:graphic>
              </wp:anchor>
            </w:drawing>
          </mc:Choice>
          <mc:Fallback>
            <w:pict>
              <v:shape id="任意多边形 16" o:spid="_x0000_s1026" o:spt="100" style="position:absolute;left:0pt;margin-left:-7.7pt;margin-top:8.6pt;height:0.05pt;width:446.9pt;z-index:251659264;mso-width-relative:page;mso-height-relative:page;" fillcolor="#FF0000" filled="t" stroked="t" coordsize="8938,1" o:gfxdata="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YZ5ydUAAAAJAQAADwAAAAAAAAABACAAAAAiAAAAZHJz&#10;L2Rvd25yZXYueG1sUEsBAhQAFAAAAAgAh07iQJQUPrtAAgAAwwQAAA4AAAAAAAAAAQAgAAAAJAEA&#10;AGRycy9lMm9Eb2MueG1sUEsFBgAAAAAGAAYAWQEAANYFAAAAAA==&#10;" path="m0,1l8938,0e">
                <v:fill on="t" focussize="0,0"/>
                <v:stroke weight="2.25pt" color="#FF0000" joinstyle="round"/>
                <v:imagedata o:title=""/>
                <o:lock v:ext="edit" aspectratio="f"/>
              </v:shape>
            </w:pict>
          </mc:Fallback>
        </mc:AlternateContent>
      </w:r>
    </w:p>
    <w:p w14:paraId="5677F7F0">
      <w:pPr>
        <w:keepNext w:val="0"/>
        <w:keepLines w:val="0"/>
        <w:pageBreakBefore w:val="0"/>
        <w:widowControl/>
        <w:suppressLineNumbers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val="en-US" w:eastAsia="zh-CN" w:bidi="ar"/>
        </w:rPr>
        <w:t>广西壮族自治区发展和改革委员会</w:t>
      </w:r>
      <w:r>
        <w:rPr>
          <w:rFonts w:hint="eastAsia" w:ascii="方正小标宋简体" w:hAnsi="方正小标宋简体" w:eastAsia="方正小标宋简体" w:cs="方正小标宋简体"/>
          <w:color w:val="000000"/>
          <w:sz w:val="44"/>
          <w:szCs w:val="44"/>
        </w:rPr>
        <w:t>关于</w:t>
      </w:r>
    </w:p>
    <w:p w14:paraId="6121388D">
      <w:pPr>
        <w:keepNext w:val="0"/>
        <w:keepLines w:val="0"/>
        <w:pageBreakBefore w:val="0"/>
        <w:widowControl/>
        <w:suppressLineNumbers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11"/>
          <w:sz w:val="44"/>
          <w:szCs w:val="44"/>
        </w:rPr>
        <w:t>组织开展202</w:t>
      </w:r>
      <w:r>
        <w:rPr>
          <w:rFonts w:hint="eastAsia" w:ascii="方正小标宋简体" w:hAnsi="方正小标宋简体" w:eastAsia="方正小标宋简体" w:cs="方正小标宋简体"/>
          <w:color w:val="000000"/>
          <w:spacing w:val="-11"/>
          <w:sz w:val="44"/>
          <w:szCs w:val="44"/>
          <w:lang w:val="en-US" w:eastAsia="zh-CN"/>
        </w:rPr>
        <w:t>5</w:t>
      </w:r>
      <w:r>
        <w:rPr>
          <w:rFonts w:hint="eastAsia" w:ascii="方正小标宋简体" w:hAnsi="方正小标宋简体" w:eastAsia="方正小标宋简体" w:cs="方正小标宋简体"/>
          <w:color w:val="000000"/>
          <w:spacing w:val="-11"/>
          <w:sz w:val="44"/>
          <w:szCs w:val="44"/>
        </w:rPr>
        <w:t>年自治区工程研究中心</w:t>
      </w:r>
    </w:p>
    <w:p w14:paraId="7D0AEA26">
      <w:pPr>
        <w:keepNext w:val="0"/>
        <w:keepLines w:val="0"/>
        <w:pageBreakBefore w:val="0"/>
        <w:widowControl/>
        <w:suppressLineNumbers w:val="0"/>
        <w:kinsoku/>
        <w:wordWrap/>
        <w:overflowPunct/>
        <w:topLinePunct w:val="0"/>
        <w:autoSpaceDE/>
        <w:autoSpaceDN/>
        <w:bidi w:val="0"/>
        <w:adjustRightInd/>
        <w:snapToGrid/>
        <w:spacing w:line="66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认定</w:t>
      </w:r>
      <w:r>
        <w:rPr>
          <w:rFonts w:hint="eastAsia" w:ascii="方正小标宋简体" w:hAnsi="方正小标宋简体" w:eastAsia="方正小标宋简体" w:cs="方正小标宋简体"/>
          <w:color w:val="000000"/>
          <w:sz w:val="44"/>
          <w:szCs w:val="44"/>
          <w:lang w:eastAsia="zh-CN"/>
        </w:rPr>
        <w:t>及评价</w:t>
      </w:r>
      <w:r>
        <w:rPr>
          <w:rFonts w:hint="eastAsia" w:ascii="方正小标宋简体" w:hAnsi="方正小标宋简体" w:eastAsia="方正小标宋简体" w:cs="方正小标宋简体"/>
          <w:color w:val="000000"/>
          <w:sz w:val="44"/>
          <w:szCs w:val="44"/>
        </w:rPr>
        <w:t>工作的通知</w:t>
      </w:r>
    </w:p>
    <w:p w14:paraId="336EBB80">
      <w:pPr>
        <w:pStyle w:val="13"/>
        <w:keepNext w:val="0"/>
        <w:keepLines w:val="0"/>
        <w:pageBreakBefore w:val="0"/>
        <w:widowControl/>
        <w:suppressLineNumbers w:val="0"/>
        <w:kinsoku/>
        <w:wordWrap/>
        <w:overflowPunct/>
        <w:topLinePunct w:val="0"/>
        <w:autoSpaceDE/>
        <w:autoSpaceDN/>
        <w:bidi w:val="0"/>
        <w:adjustRightInd/>
        <w:snapToGrid/>
        <w:spacing w:line="560" w:lineRule="exact"/>
        <w:ind w:firstLine="596" w:firstLineChars="200"/>
        <w:jc w:val="left"/>
        <w:textAlignment w:val="auto"/>
        <w:outlineLvl w:val="9"/>
        <w:rPr>
          <w:rFonts w:ascii="仿宋_GB2312" w:eastAsia="仿宋_GB2312" w:cs="仿宋_GB2312"/>
          <w:color w:val="000000"/>
          <w:sz w:val="31"/>
          <w:szCs w:val="31"/>
        </w:rPr>
      </w:pPr>
    </w:p>
    <w:p w14:paraId="20455ADF">
      <w:pPr>
        <w:pStyle w:val="13"/>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outlineLvl w:val="9"/>
        <w:rPr>
          <w:sz w:val="32"/>
          <w:szCs w:val="36"/>
        </w:rPr>
      </w:pPr>
      <w:r>
        <w:rPr>
          <w:rFonts w:hint="eastAsia" w:ascii="仿宋_GB2312" w:eastAsia="仿宋_GB2312" w:cs="仿宋_GB2312"/>
          <w:color w:val="000000"/>
          <w:sz w:val="32"/>
          <w:szCs w:val="36"/>
          <w:lang w:eastAsia="zh-CN"/>
        </w:rPr>
        <w:t>自治区</w:t>
      </w:r>
      <w:r>
        <w:rPr>
          <w:rFonts w:ascii="仿宋_GB2312" w:eastAsia="仿宋_GB2312" w:cs="仿宋_GB2312"/>
          <w:color w:val="000000"/>
          <w:sz w:val="32"/>
          <w:szCs w:val="36"/>
        </w:rPr>
        <w:t>各有关单位，各设区市发展改革委：</w:t>
      </w:r>
    </w:p>
    <w:p w14:paraId="3CADE28E">
      <w:pPr>
        <w:pStyle w:val="13"/>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16" w:firstLineChars="200"/>
        <w:jc w:val="both"/>
        <w:textAlignment w:val="auto"/>
        <w:outlineLvl w:val="9"/>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创新平台作为培养创新人才、集聚创新资源的重要抓手，在推动经济高质量发展中发挥着重要作用。为深入贯彻落实党中央、国务院关于深化体制机制改革加快实施创新驱动发展战略等文件精神，更好发挥创新平台载体作用，持续提升自主创新能力，按照《广西壮族自治区工程研究中心管理办法》（以下简称《管理办法》）有关要求，拟组织开展2025年自治区工程研究中心认定和评价工作，现就有关事项通知如下：</w:t>
      </w:r>
    </w:p>
    <w:p w14:paraId="7507FB8C">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16" w:firstLineChars="200"/>
        <w:jc w:val="both"/>
        <w:textAlignment w:val="auto"/>
        <w:outlineLvl w:val="9"/>
        <w:rPr>
          <w:rFonts w:hint="eastAsia" w:ascii="黑体" w:hAnsi="黑体" w:eastAsia="黑体" w:cs="黑体"/>
          <w:b w:val="0"/>
          <w:bCs w:val="0"/>
          <w:snapToGrid w:val="0"/>
          <w:color w:val="auto"/>
          <w:kern w:val="0"/>
          <w:sz w:val="32"/>
          <w:szCs w:val="36"/>
          <w:lang w:val="en-US" w:eastAsia="zh-CN" w:bidi="ar-SA"/>
        </w:rPr>
      </w:pPr>
      <w:r>
        <w:rPr>
          <w:rFonts w:hint="eastAsia" w:ascii="黑体" w:hAnsi="黑体" w:eastAsia="黑体" w:cs="黑体"/>
          <w:b w:val="0"/>
          <w:bCs w:val="0"/>
          <w:snapToGrid w:val="0"/>
          <w:color w:val="auto"/>
          <w:kern w:val="0"/>
          <w:sz w:val="32"/>
          <w:szCs w:val="36"/>
          <w:lang w:val="en-US" w:eastAsia="zh-CN" w:bidi="ar-SA"/>
        </w:rPr>
        <w:t>一、关于2025年认定工作</w:t>
      </w:r>
    </w:p>
    <w:p w14:paraId="5A57689D">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16" w:firstLineChars="200"/>
        <w:jc w:val="both"/>
        <w:textAlignment w:val="auto"/>
        <w:outlineLvl w:val="9"/>
        <w:rPr>
          <w:rFonts w:hint="eastAsia" w:ascii="楷体_GB2312" w:hAnsi="楷体_GB2312" w:eastAsia="楷体_GB2312" w:cs="楷体_GB2312"/>
          <w:b/>
          <w:bCs/>
          <w:color w:val="000000"/>
          <w:sz w:val="32"/>
          <w:szCs w:val="36"/>
          <w:lang w:eastAsia="zh-CN"/>
        </w:rPr>
      </w:pPr>
      <w:r>
        <w:rPr>
          <w:rFonts w:hint="eastAsia" w:ascii="楷体_GB2312" w:hAnsi="楷体_GB2312" w:eastAsia="楷体_GB2312" w:cs="楷体_GB2312"/>
          <w:b/>
          <w:bCs/>
          <w:color w:val="000000"/>
          <w:sz w:val="32"/>
          <w:szCs w:val="36"/>
          <w:lang w:eastAsia="zh-CN"/>
        </w:rPr>
        <w:t>（一）申报条件。</w:t>
      </w:r>
    </w:p>
    <w:p w14:paraId="6BA2B6D0">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16" w:firstLineChars="200"/>
        <w:jc w:val="both"/>
        <w:textAlignment w:val="auto"/>
        <w:outlineLvl w:val="9"/>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根据工作安排，聚焦国家、自治区重大战略任务和重点工程建设需求，重点围绕新一代信息技术、生物技术（生物医药、生物化工、生物农业等）、新能源、新材料、高端装备制造、智能及新能源汽车、特色优势农业、绿色环保、数字创意及新兴服务业等战略性新兴产业及未来产业（人工智能、氢能、低空经济、深海空天等）等开展一批自治区工程研究中心和自治区人工智能场景工程研究中心认定工作。具体申报条件如下：</w:t>
      </w:r>
    </w:p>
    <w:p w14:paraId="20D9882A">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16" w:firstLineChars="200"/>
        <w:jc w:val="both"/>
        <w:textAlignment w:val="auto"/>
        <w:outlineLvl w:val="9"/>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b/>
          <w:bCs/>
          <w:snapToGrid w:val="0"/>
          <w:color w:val="auto"/>
          <w:kern w:val="0"/>
          <w:sz w:val="32"/>
          <w:szCs w:val="36"/>
          <w:lang w:val="en-US" w:eastAsia="zh-CN" w:bidi="ar-SA"/>
        </w:rPr>
        <w:t>1.关于自治区工程研究中心申报条件</w:t>
      </w:r>
      <w:r>
        <w:rPr>
          <w:rFonts w:hint="eastAsia" w:ascii="仿宋_GB2312" w:hAnsi="仿宋_GB2312" w:eastAsia="仿宋_GB2312" w:cs="仿宋_GB2312"/>
          <w:snapToGrid w:val="0"/>
          <w:color w:val="auto"/>
          <w:kern w:val="0"/>
          <w:sz w:val="32"/>
          <w:szCs w:val="36"/>
          <w:lang w:val="en-US" w:eastAsia="zh-CN" w:bidi="ar-SA"/>
        </w:rPr>
        <w:t>。</w:t>
      </w:r>
    </w:p>
    <w:p w14:paraId="5EFEBA5E">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鼓励各相关领域的高等院校、科研院所、中央驻桂企业（广西注册）、区直国有企业、民营企业等单独或以创新联合体共同申报。申报单位需具备以下条件：</w:t>
      </w:r>
    </w:p>
    <w:p w14:paraId="7D2910F0">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16" w:firstLineChars="200"/>
        <w:jc w:val="both"/>
        <w:textAlignment w:val="auto"/>
        <w:outlineLvl w:val="9"/>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1）申报单位在本领域技术创新中具有领先地位和竞争优势。依托单位应为广西区内注册的独立法人单位，且研发经费投入原则上不低于企业销售收入的3%；共建单位与其在产学研用等方面具有密切协同性，且为非关联单位，申报单位总数不超过3家。</w:t>
      </w:r>
    </w:p>
    <w:p w14:paraId="4F0095D2">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（2）申报单位具有高层次人才队伍、高水平的研究开发和技术集成能力，拥有完善的人才激励、成果转化、知识产权管理等管理制度，技术团队人员总数不少于40人，其中专职研发人员占70%以上。</w:t>
      </w:r>
    </w:p>
    <w:p w14:paraId="25619B74">
      <w:pPr>
        <w:pStyle w:val="13"/>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（3）拟申请的自治区工程研究中心具有较强的综合实力，发展思路清晰、目标定位明确、运行管理体制规范，科研场地面积应</w:t>
      </w:r>
      <w:r>
        <w:rPr>
          <w:rFonts w:hint="eastAsia" w:ascii="仿宋_GB2312" w:hAnsi="仿宋_GB2312" w:eastAsia="仿宋_GB2312" w:cs="仿宋_GB2312"/>
          <w:snapToGrid w:val="0"/>
          <w:color w:val="auto"/>
          <w:kern w:val="0"/>
          <w:sz w:val="32"/>
          <w:szCs w:val="36"/>
          <w:u w:val="none"/>
          <w:lang w:val="en-US" w:eastAsia="zh-CN" w:bidi="ar-SA"/>
        </w:rPr>
        <w:t>在1000平方米以上，</w:t>
      </w:r>
      <w:r>
        <w:rPr>
          <w:rFonts w:hint="eastAsia" w:ascii="仿宋_GB2312" w:hAnsi="仿宋_GB2312" w:eastAsia="仿宋_GB2312" w:cs="仿宋_GB2312"/>
          <w:snapToGrid w:val="0"/>
          <w:color w:val="auto"/>
          <w:kern w:val="0"/>
          <w:sz w:val="32"/>
          <w:szCs w:val="36"/>
          <w:lang w:val="en-US" w:eastAsia="zh-CN" w:bidi="ar-SA"/>
        </w:rPr>
        <w:t>科研仪器设备原值应在2000万元以上。</w:t>
      </w:r>
    </w:p>
    <w:p w14:paraId="0FC09405">
      <w:pPr>
        <w:pStyle w:val="13"/>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（4）未因严重违法失信行为被司法、行政机关依法列入联合惩戒对象名单。</w:t>
      </w:r>
    </w:p>
    <w:p w14:paraId="412925BC">
      <w:pPr>
        <w:pStyle w:val="13"/>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16" w:firstLineChars="200"/>
        <w:jc w:val="both"/>
        <w:textAlignment w:val="auto"/>
        <w:outlineLvl w:val="9"/>
        <w:rPr>
          <w:rFonts w:hint="eastAsia" w:ascii="仿宋_GB2312" w:hAnsi="仿宋_GB2312" w:eastAsia="仿宋_GB2312" w:cs="仿宋_GB2312"/>
          <w:b/>
          <w:bCs/>
          <w:snapToGrid w:val="0"/>
          <w:color w:val="auto"/>
          <w:kern w:val="0"/>
          <w:sz w:val="32"/>
          <w:szCs w:val="36"/>
          <w:lang w:val="en-US" w:eastAsia="zh-CN" w:bidi="ar-SA"/>
        </w:rPr>
      </w:pPr>
      <w:r>
        <w:rPr>
          <w:rFonts w:hint="eastAsia" w:ascii="仿宋_GB2312" w:hAnsi="仿宋_GB2312" w:eastAsia="仿宋_GB2312" w:cs="仿宋_GB2312"/>
          <w:b/>
          <w:bCs/>
          <w:snapToGrid w:val="0"/>
          <w:color w:val="auto"/>
          <w:kern w:val="0"/>
          <w:sz w:val="32"/>
          <w:szCs w:val="36"/>
          <w:lang w:val="en-US" w:eastAsia="zh-CN" w:bidi="ar-SA"/>
        </w:rPr>
        <w:t>2.关于自治区人工智能场景工程研究中心补充申报条件。</w:t>
      </w:r>
    </w:p>
    <w:p w14:paraId="7920A2C0">
      <w:pPr>
        <w:pStyle w:val="13"/>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积极贯彻落实国家、自治区“人工智能+”行动部署，面向全区高校、科研院所、事业单位、中央驻桂企业（广西注册）、区直国企、民营企业等对象，单独或以创新联合体共同申报。申报单位需具备以下条件：</w:t>
      </w:r>
    </w:p>
    <w:p w14:paraId="1B4DD689">
      <w:pPr>
        <w:pStyle w:val="13"/>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1）申报单位围绕人工智能赋能医疗、教育、交通、文旅、农业、制造、金融、应急、物流、能源、科学、环保、政务、社会治理等千行百业，以场景创新为牵引，重点突出关键核心技术攻关、产品产业化落地、行业领域服务应用等功能，以“小切口”做好高质量发展“大文章”。申报单位仅限选择一个行业领域申报，使用“自治区人工智能</w:t>
      </w:r>
      <w:r>
        <w:rPr>
          <w:rFonts w:hint="default" w:ascii="仿宋_GB2312" w:hAnsi="仿宋_GB2312" w:eastAsia="仿宋_GB2312" w:cs="仿宋_GB2312"/>
          <w:snapToGrid w:val="0"/>
          <w:color w:val="auto"/>
          <w:kern w:val="0"/>
          <w:sz w:val="32"/>
          <w:szCs w:val="36"/>
          <w:lang w:val="en-US" w:eastAsia="zh-CN" w:bidi="ar-SA"/>
        </w:rPr>
        <w:t>XX</w:t>
      </w:r>
      <w:r>
        <w:rPr>
          <w:rFonts w:hint="eastAsia" w:ascii="仿宋_GB2312" w:hAnsi="仿宋_GB2312" w:eastAsia="仿宋_GB2312" w:cs="仿宋_GB2312"/>
          <w:snapToGrid w:val="0"/>
          <w:color w:val="auto"/>
          <w:kern w:val="0"/>
          <w:sz w:val="32"/>
          <w:szCs w:val="36"/>
          <w:lang w:val="en-US" w:eastAsia="zh-CN" w:bidi="ar-SA"/>
        </w:rPr>
        <w:t>场景工程研究中心”名称。</w:t>
      </w:r>
    </w:p>
    <w:p w14:paraId="3AC2300F">
      <w:pPr>
        <w:pStyle w:val="13"/>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2）拟建设的自治区人工智能场景工程研究中心坚持“软硬”结合，发展思路清晰，任务目标明确，在体制机制建立、垂直大模型开发、产业生态构建、合作交流、伦理治理等领域均较为规范，且具备行业场景策划、论证、转化、应用、生效等全过程能力。</w:t>
      </w:r>
    </w:p>
    <w:p w14:paraId="4B20BF98">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3）申报单位具有AI行业大模型、计算机视觉、智能语音、自然语言处理、智能机器人等关键核心技术攻关，具备AI行业软硬件产品应用服务能力。具有较高水平的研究开发和技术集成能力及相应的人才队伍，AI技术创新团队人员占总研发人员比例达1/5以上。</w:t>
      </w:r>
    </w:p>
    <w:p w14:paraId="02E86986">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（4）申报单位需具备高性能计算、大数据存储等基础设施，从事AI科研仪器设备原值应在2000万元以上。</w:t>
      </w:r>
    </w:p>
    <w:p w14:paraId="738A6465">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（5）未因严重违法失信行为被司法、行政机关依法列入联合惩戒对象名单。</w:t>
      </w:r>
    </w:p>
    <w:p w14:paraId="5DC6F164">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（6）优先支持“场景创新有办法、场景落地有成效、场景推广有经验”等方面有成功案例的单位。</w:t>
      </w:r>
    </w:p>
    <w:p w14:paraId="2896E58E">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16" w:firstLineChars="200"/>
        <w:jc w:val="both"/>
        <w:textAlignment w:val="auto"/>
        <w:outlineLvl w:val="9"/>
        <w:rPr>
          <w:rFonts w:hint="eastAsia" w:ascii="楷体_GB2312" w:hAnsi="楷体_GB2312" w:eastAsia="楷体_GB2312" w:cs="楷体_GB2312"/>
          <w:b/>
          <w:bCs/>
          <w:color w:val="000000"/>
          <w:sz w:val="32"/>
          <w:szCs w:val="36"/>
          <w:lang w:eastAsia="zh-CN"/>
        </w:rPr>
      </w:pPr>
      <w:r>
        <w:rPr>
          <w:rFonts w:hint="eastAsia" w:ascii="楷体_GB2312" w:hAnsi="楷体_GB2312" w:eastAsia="楷体_GB2312" w:cs="楷体_GB2312"/>
          <w:b/>
          <w:bCs/>
          <w:color w:val="000000"/>
          <w:sz w:val="32"/>
          <w:szCs w:val="36"/>
          <w:lang w:eastAsia="zh-CN"/>
        </w:rPr>
        <w:t>（二）申报数量。</w:t>
      </w:r>
    </w:p>
    <w:p w14:paraId="1090FFE2">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1.各市发展改革委按照属地原则，自治区工程研究中心择优推荐申报数量不超过</w:t>
      </w:r>
      <w:r>
        <w:rPr>
          <w:rFonts w:hint="default" w:ascii="仿宋_GB2312" w:hAnsi="仿宋_GB2312" w:eastAsia="仿宋_GB2312" w:cs="仿宋_GB2312"/>
          <w:snapToGrid w:val="0"/>
          <w:color w:val="auto"/>
          <w:kern w:val="0"/>
          <w:sz w:val="32"/>
          <w:szCs w:val="36"/>
          <w:lang w:val="en-US" w:eastAsia="zh-CN" w:bidi="ar-SA"/>
        </w:rPr>
        <w:t>3</w:t>
      </w:r>
      <w:r>
        <w:rPr>
          <w:rFonts w:hint="eastAsia" w:ascii="仿宋_GB2312" w:hAnsi="仿宋_GB2312" w:eastAsia="仿宋_GB2312" w:cs="仿宋_GB2312"/>
          <w:snapToGrid w:val="0"/>
          <w:color w:val="auto"/>
          <w:kern w:val="0"/>
          <w:sz w:val="32"/>
          <w:szCs w:val="36"/>
          <w:lang w:val="en-US" w:eastAsia="zh-CN" w:bidi="ar-SA"/>
        </w:rPr>
        <w:t>个，自治区人工智能场景工程研究中心申报数量不超过</w:t>
      </w:r>
      <w:r>
        <w:rPr>
          <w:rFonts w:hint="default" w:ascii="仿宋_GB2312" w:hAnsi="仿宋_GB2312" w:eastAsia="仿宋_GB2312" w:cs="仿宋_GB2312"/>
          <w:snapToGrid w:val="0"/>
          <w:color w:val="auto"/>
          <w:kern w:val="0"/>
          <w:sz w:val="32"/>
          <w:szCs w:val="36"/>
          <w:lang w:val="en-US" w:eastAsia="zh-CN" w:bidi="ar-SA"/>
        </w:rPr>
        <w:t>1</w:t>
      </w:r>
      <w:r>
        <w:rPr>
          <w:rFonts w:hint="eastAsia" w:ascii="仿宋_GB2312" w:hAnsi="仿宋_GB2312" w:eastAsia="仿宋_GB2312" w:cs="仿宋_GB2312"/>
          <w:snapToGrid w:val="0"/>
          <w:color w:val="auto"/>
          <w:kern w:val="0"/>
          <w:sz w:val="32"/>
          <w:szCs w:val="36"/>
          <w:lang w:val="en-US" w:eastAsia="zh-CN" w:bidi="ar-SA"/>
        </w:rPr>
        <w:t>个。</w:t>
      </w:r>
    </w:p>
    <w:p w14:paraId="66C8C60C">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snapToGrid w:val="0"/>
          <w:color w:val="auto"/>
          <w:kern w:val="0"/>
          <w:sz w:val="32"/>
          <w:szCs w:val="36"/>
          <w:lang w:val="en-US" w:eastAsia="zh-CN" w:bidi="ar-SA"/>
        </w:rPr>
        <w:t>2.自治区各有关单位（区属企业、区属高校、区属科研院所、区属医院等企事业单位），自治区工程研究中心和自治区人工智能场景工程研究中心推荐申报数量各不超过1个。</w:t>
      </w:r>
    </w:p>
    <w:p w14:paraId="6729C186">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16" w:firstLineChars="200"/>
        <w:jc w:val="both"/>
        <w:textAlignment w:val="auto"/>
        <w:outlineLvl w:val="9"/>
        <w:rPr>
          <w:rFonts w:hint="eastAsia" w:ascii="楷体_GB2312" w:hAnsi="楷体_GB2312" w:eastAsia="楷体_GB2312" w:cs="楷体_GB2312"/>
          <w:b/>
          <w:bCs/>
          <w:color w:val="000000"/>
          <w:sz w:val="32"/>
          <w:szCs w:val="36"/>
          <w:lang w:eastAsia="zh-CN"/>
        </w:rPr>
      </w:pPr>
      <w:r>
        <w:rPr>
          <w:rFonts w:hint="eastAsia" w:ascii="楷体_GB2312" w:hAnsi="楷体_GB2312" w:eastAsia="楷体_GB2312" w:cs="楷体_GB2312"/>
          <w:b/>
          <w:bCs/>
          <w:color w:val="000000"/>
          <w:sz w:val="32"/>
          <w:szCs w:val="36"/>
          <w:lang w:eastAsia="zh-CN"/>
        </w:rPr>
        <w:t>（三）认定程序。</w:t>
      </w:r>
    </w:p>
    <w:p w14:paraId="2DAE3D57">
      <w:pPr>
        <w:pStyle w:val="13"/>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b/>
          <w:bCs/>
          <w:snapToGrid w:val="0"/>
          <w:color w:val="auto"/>
          <w:kern w:val="0"/>
          <w:sz w:val="32"/>
          <w:szCs w:val="36"/>
          <w:lang w:val="en-US" w:eastAsia="zh-CN" w:bidi="ar-SA"/>
        </w:rPr>
        <w:t>1.初筛。</w:t>
      </w:r>
      <w:r>
        <w:rPr>
          <w:rFonts w:hint="eastAsia" w:ascii="仿宋_GB2312" w:hAnsi="仿宋_GB2312" w:eastAsia="仿宋_GB2312" w:cs="仿宋_GB2312"/>
          <w:snapToGrid w:val="0"/>
          <w:color w:val="auto"/>
          <w:kern w:val="0"/>
          <w:sz w:val="32"/>
          <w:szCs w:val="36"/>
          <w:lang w:val="en-US" w:eastAsia="zh-CN" w:bidi="ar-SA"/>
        </w:rPr>
        <w:t>区直各有关单位、各设区市发展改革委对照《管理办法》和通知要求，对拟申报材料的完整性及真实性进行筛查，不符合申报条件的直接淘汰。</w:t>
      </w:r>
    </w:p>
    <w:p w14:paraId="76947FD6">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b/>
          <w:bCs/>
          <w:snapToGrid w:val="0"/>
          <w:color w:val="auto"/>
          <w:kern w:val="0"/>
          <w:sz w:val="32"/>
          <w:szCs w:val="36"/>
          <w:lang w:val="en-US" w:eastAsia="zh-CN" w:bidi="ar-SA"/>
        </w:rPr>
        <w:t>2.评审</w:t>
      </w:r>
      <w:r>
        <w:rPr>
          <w:rFonts w:hint="eastAsia" w:ascii="仿宋_GB2312" w:hAnsi="仿宋_GB2312" w:eastAsia="仿宋_GB2312" w:cs="仿宋_GB2312"/>
          <w:snapToGrid w:val="0"/>
          <w:color w:val="auto"/>
          <w:kern w:val="0"/>
          <w:sz w:val="32"/>
          <w:szCs w:val="36"/>
          <w:lang w:val="en-US" w:eastAsia="zh-CN" w:bidi="ar-SA"/>
        </w:rPr>
        <w:t>。自治区发展改革委邀请相关领域专家依据评分标准对申报材料进行评审，择优确定答辩名单。</w:t>
      </w:r>
    </w:p>
    <w:p w14:paraId="6300722F">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b/>
          <w:bCs/>
          <w:snapToGrid w:val="0"/>
          <w:color w:val="auto"/>
          <w:kern w:val="0"/>
          <w:sz w:val="32"/>
          <w:szCs w:val="36"/>
          <w:lang w:val="en-US" w:eastAsia="zh-CN" w:bidi="ar-SA"/>
        </w:rPr>
        <w:t>3.答辩</w:t>
      </w:r>
      <w:r>
        <w:rPr>
          <w:rFonts w:hint="eastAsia" w:ascii="仿宋_GB2312" w:hAnsi="仿宋_GB2312" w:eastAsia="仿宋_GB2312" w:cs="仿宋_GB2312"/>
          <w:snapToGrid w:val="0"/>
          <w:color w:val="auto"/>
          <w:kern w:val="0"/>
          <w:sz w:val="32"/>
          <w:szCs w:val="36"/>
          <w:lang w:val="en-US" w:eastAsia="zh-CN" w:bidi="ar-SA"/>
        </w:rPr>
        <w:t>。自治区发展改革委邀请相关领域专家对申报单位的建设基础、发展定位、产业化能力、服务应用效果、未来市场格局等内容进行质询，并形成答辩分数排序名单。</w:t>
      </w:r>
    </w:p>
    <w:p w14:paraId="7CF556D7">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b/>
          <w:bCs/>
          <w:snapToGrid w:val="0"/>
          <w:color w:val="auto"/>
          <w:kern w:val="0"/>
          <w:sz w:val="32"/>
          <w:szCs w:val="36"/>
          <w:lang w:val="en-US" w:eastAsia="zh-CN" w:bidi="ar-SA"/>
        </w:rPr>
        <w:t>4.核定</w:t>
      </w:r>
      <w:r>
        <w:rPr>
          <w:rFonts w:hint="eastAsia" w:ascii="仿宋_GB2312" w:hAnsi="仿宋_GB2312" w:eastAsia="仿宋_GB2312" w:cs="仿宋_GB2312"/>
          <w:snapToGrid w:val="0"/>
          <w:color w:val="auto"/>
          <w:kern w:val="0"/>
          <w:sz w:val="32"/>
          <w:szCs w:val="36"/>
          <w:lang w:val="en-US" w:eastAsia="zh-CN" w:bidi="ar-SA"/>
        </w:rPr>
        <w:t>。在评分结果顺序的基础上，结合重点产业原则、协调布局原则及场景策划转化能力，择优确定2025年自治区工程研究中心和自治区人工智能场景工程研究中心认定名单。</w:t>
      </w:r>
    </w:p>
    <w:p w14:paraId="61A30F5E">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仿宋_GB2312" w:hAnsi="仿宋_GB2312" w:eastAsia="仿宋_GB2312" w:cs="仿宋_GB2312"/>
          <w:b/>
          <w:bCs/>
          <w:snapToGrid w:val="0"/>
          <w:color w:val="auto"/>
          <w:kern w:val="0"/>
          <w:sz w:val="32"/>
          <w:szCs w:val="36"/>
          <w:lang w:val="en-US" w:eastAsia="zh-CN" w:bidi="ar-SA"/>
        </w:rPr>
        <w:t>5.公布</w:t>
      </w:r>
      <w:r>
        <w:rPr>
          <w:rFonts w:hint="eastAsia" w:ascii="仿宋_GB2312" w:hAnsi="仿宋_GB2312" w:eastAsia="仿宋_GB2312" w:cs="仿宋_GB2312"/>
          <w:snapToGrid w:val="0"/>
          <w:color w:val="auto"/>
          <w:kern w:val="0"/>
          <w:sz w:val="32"/>
          <w:szCs w:val="36"/>
          <w:lang w:val="en-US" w:eastAsia="zh-CN" w:bidi="ar-SA"/>
        </w:rPr>
        <w:t>。认定名单经公示及征求有关单位意见后，以自治区发展改革委名义印发公布。</w:t>
      </w:r>
    </w:p>
    <w:p w14:paraId="1900A59B">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仿宋_GB2312" w:eastAsia="仿宋_GB2312" w:cs="仿宋_GB2312"/>
          <w:snapToGrid w:val="0"/>
          <w:color w:val="auto"/>
          <w:kern w:val="0"/>
          <w:sz w:val="32"/>
          <w:szCs w:val="36"/>
          <w:lang w:val="en-US" w:eastAsia="zh-CN" w:bidi="ar-SA"/>
        </w:rPr>
      </w:pPr>
      <w:r>
        <w:rPr>
          <w:rFonts w:hint="eastAsia" w:ascii="黑体" w:hAnsi="黑体" w:eastAsia="黑体" w:cs="黑体"/>
          <w:b w:val="0"/>
          <w:bCs w:val="0"/>
          <w:snapToGrid w:val="0"/>
          <w:color w:val="auto"/>
          <w:kern w:val="0"/>
          <w:sz w:val="32"/>
          <w:szCs w:val="36"/>
          <w:lang w:val="en-US" w:eastAsia="zh-CN" w:bidi="ar-SA"/>
        </w:rPr>
        <w:t>二、关于2025年评价工作</w:t>
      </w:r>
    </w:p>
    <w:p w14:paraId="1D29F365">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eastAsia="楷体_GB2312"/>
          <w:b/>
          <w:bCs/>
          <w:sz w:val="32"/>
          <w:szCs w:val="36"/>
          <w:lang w:eastAsia="zh-CN"/>
        </w:rPr>
      </w:pPr>
      <w:r>
        <w:rPr>
          <w:rFonts w:hint="eastAsia" w:ascii="楷体_GB2312" w:eastAsia="楷体_GB2312" w:cs="楷体_GB2312"/>
          <w:b/>
          <w:bCs/>
          <w:color w:val="000000"/>
          <w:sz w:val="32"/>
          <w:szCs w:val="36"/>
        </w:rPr>
        <w:t>（一）评价对象</w:t>
      </w:r>
      <w:r>
        <w:rPr>
          <w:rFonts w:hint="eastAsia" w:ascii="楷体_GB2312" w:eastAsia="楷体_GB2312" w:cs="楷体_GB2312"/>
          <w:b/>
          <w:bCs/>
          <w:color w:val="000000"/>
          <w:sz w:val="32"/>
          <w:szCs w:val="36"/>
          <w:lang w:eastAsia="zh-CN"/>
        </w:rPr>
        <w:t>。</w:t>
      </w:r>
    </w:p>
    <w:p w14:paraId="037EE196">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仿宋_GB2312" w:hAnsi="宋体" w:eastAsia="仿宋_GB2312" w:cs="仿宋_GB2312"/>
          <w:color w:val="000000"/>
          <w:sz w:val="32"/>
          <w:szCs w:val="36"/>
        </w:rPr>
      </w:pPr>
      <w:r>
        <w:rPr>
          <w:rFonts w:hint="eastAsia" w:ascii="仿宋_GB2312" w:hAnsi="宋体" w:eastAsia="仿宋_GB2312" w:cs="仿宋_GB2312"/>
          <w:color w:val="000000"/>
          <w:sz w:val="32"/>
          <w:szCs w:val="36"/>
          <w:lang w:val="en-US" w:eastAsia="zh-CN"/>
        </w:rPr>
        <w:t>对认定已满3年（批复时间2021年（含）以前）的自治区</w:t>
      </w:r>
      <w:r>
        <w:rPr>
          <w:rFonts w:hint="eastAsia" w:ascii="仿宋_GB2312" w:hAnsi="宋体" w:eastAsia="仿宋_GB2312" w:cs="仿宋_GB2312"/>
          <w:color w:val="000000"/>
          <w:sz w:val="32"/>
          <w:szCs w:val="36"/>
        </w:rPr>
        <w:t>工程研究中心进行评价（见附件8）</w:t>
      </w:r>
      <w:r>
        <w:rPr>
          <w:rFonts w:hint="eastAsia" w:ascii="仿宋_GB2312" w:eastAsia="仿宋_GB2312" w:cs="仿宋_GB2312"/>
          <w:color w:val="000000"/>
          <w:sz w:val="32"/>
          <w:szCs w:val="36"/>
          <w:lang w:eastAsia="zh-CN"/>
        </w:rPr>
        <w:t>，</w:t>
      </w:r>
      <w:r>
        <w:rPr>
          <w:rFonts w:hint="eastAsia" w:ascii="仿宋_GB2312" w:hAnsi="宋体" w:eastAsia="仿宋_GB2312" w:cs="仿宋_GB2312"/>
          <w:color w:val="000000"/>
          <w:sz w:val="32"/>
          <w:szCs w:val="36"/>
        </w:rPr>
        <w:t>业绩成果统计期间为202</w:t>
      </w:r>
      <w:r>
        <w:rPr>
          <w:rFonts w:hint="eastAsia" w:ascii="仿宋_GB2312" w:hAnsi="宋体" w:eastAsia="仿宋_GB2312" w:cs="仿宋_GB2312"/>
          <w:color w:val="000000"/>
          <w:sz w:val="32"/>
          <w:szCs w:val="36"/>
          <w:lang w:val="en-US" w:eastAsia="zh-CN"/>
        </w:rPr>
        <w:t>2</w:t>
      </w:r>
      <w:r>
        <w:rPr>
          <w:rFonts w:hint="eastAsia" w:ascii="仿宋_GB2312" w:hAnsi="宋体" w:eastAsia="仿宋_GB2312" w:cs="仿宋_GB2312"/>
          <w:color w:val="000000"/>
          <w:sz w:val="32"/>
          <w:szCs w:val="36"/>
        </w:rPr>
        <w:t>至202</w:t>
      </w:r>
      <w:r>
        <w:rPr>
          <w:rFonts w:hint="eastAsia" w:ascii="仿宋_GB2312" w:hAnsi="宋体" w:eastAsia="仿宋_GB2312" w:cs="仿宋_GB2312"/>
          <w:color w:val="000000"/>
          <w:sz w:val="32"/>
          <w:szCs w:val="36"/>
          <w:lang w:val="en-US" w:eastAsia="zh-CN"/>
        </w:rPr>
        <w:t>4</w:t>
      </w:r>
      <w:r>
        <w:rPr>
          <w:rFonts w:hint="eastAsia" w:ascii="仿宋_GB2312" w:hAnsi="宋体" w:eastAsia="仿宋_GB2312" w:cs="仿宋_GB2312"/>
          <w:color w:val="000000"/>
          <w:sz w:val="32"/>
          <w:szCs w:val="36"/>
        </w:rPr>
        <w:t>年。</w:t>
      </w:r>
    </w:p>
    <w:p w14:paraId="6B66EC52">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eastAsia="楷体_GB2312"/>
          <w:b/>
          <w:bCs/>
          <w:sz w:val="32"/>
          <w:szCs w:val="36"/>
          <w:lang w:eastAsia="zh-CN"/>
        </w:rPr>
      </w:pPr>
      <w:r>
        <w:rPr>
          <w:rFonts w:hint="eastAsia" w:ascii="楷体_GB2312" w:eastAsia="楷体_GB2312" w:cs="楷体_GB2312"/>
          <w:b/>
          <w:bCs/>
          <w:color w:val="000000"/>
          <w:sz w:val="32"/>
          <w:szCs w:val="36"/>
        </w:rPr>
        <w:t>（二）评价原则</w:t>
      </w:r>
      <w:r>
        <w:rPr>
          <w:rFonts w:hint="eastAsia" w:ascii="楷体_GB2312" w:eastAsia="楷体_GB2312" w:cs="楷体_GB2312"/>
          <w:b/>
          <w:bCs/>
          <w:color w:val="000000"/>
          <w:sz w:val="32"/>
          <w:szCs w:val="36"/>
          <w:lang w:eastAsia="zh-CN"/>
        </w:rPr>
        <w:t>。</w:t>
      </w:r>
    </w:p>
    <w:p w14:paraId="22CD461A">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1.科学公正</w:t>
      </w:r>
      <w:r>
        <w:rPr>
          <w:rFonts w:hint="eastAsia" w:ascii="楷体_GB2312" w:eastAsia="楷体_GB2312" w:cs="楷体_GB2312"/>
          <w:color w:val="000000"/>
          <w:sz w:val="32"/>
          <w:szCs w:val="36"/>
        </w:rPr>
        <w:t>。</w:t>
      </w:r>
      <w:r>
        <w:rPr>
          <w:rFonts w:hint="eastAsia" w:ascii="仿宋_GB2312" w:eastAsia="仿宋_GB2312" w:cs="仿宋_GB2312"/>
          <w:color w:val="000000"/>
          <w:sz w:val="32"/>
          <w:szCs w:val="36"/>
        </w:rPr>
        <w:t>遵循客观、公正、科学的原则，依据评价指标体系，采用定量与定性相结合的方法，确保评价结果的准确性和可靠性。</w:t>
      </w:r>
    </w:p>
    <w:p w14:paraId="7D78A433">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2.突出重点。</w:t>
      </w:r>
      <w:r>
        <w:rPr>
          <w:rFonts w:hint="eastAsia" w:ascii="仿宋_GB2312" w:eastAsia="仿宋_GB2312" w:cs="仿宋_GB2312"/>
          <w:color w:val="000000"/>
          <w:sz w:val="32"/>
          <w:szCs w:val="36"/>
        </w:rPr>
        <w:t>重点评价自治区工程研究中心的研发能力、创新成果、成果转化、人才队伍、运行管理等方面的情况。</w:t>
      </w:r>
    </w:p>
    <w:p w14:paraId="5B5B3671">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3.动态调整。</w:t>
      </w:r>
      <w:r>
        <w:rPr>
          <w:rFonts w:hint="eastAsia" w:ascii="仿宋_GB2312" w:eastAsia="仿宋_GB2312" w:cs="仿宋_GB2312"/>
          <w:color w:val="000000"/>
          <w:sz w:val="32"/>
          <w:szCs w:val="36"/>
        </w:rPr>
        <w:t>根据自治区工程研究中心的发展变化和行业需求，适时调整评价指标和权重，确保评价工作的科学性和适应性。</w:t>
      </w:r>
    </w:p>
    <w:p w14:paraId="380B1287">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楷体_GB2312" w:hAnsi="楷体_GB2312" w:eastAsia="楷体_GB2312" w:cs="楷体_GB2312"/>
          <w:b/>
          <w:bCs/>
          <w:sz w:val="32"/>
          <w:szCs w:val="36"/>
        </w:rPr>
      </w:pPr>
      <w:r>
        <w:rPr>
          <w:rFonts w:hint="eastAsia" w:ascii="楷体_GB2312" w:hAnsi="楷体_GB2312" w:eastAsia="楷体_GB2312" w:cs="楷体_GB2312"/>
          <w:b/>
          <w:bCs/>
          <w:color w:val="000000"/>
          <w:sz w:val="32"/>
          <w:szCs w:val="36"/>
        </w:rPr>
        <w:t>（三）评价结果及应用</w:t>
      </w:r>
    </w:p>
    <w:p w14:paraId="16D522EA">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eastAsia="仿宋_GB2312" w:cs="仿宋_GB2312"/>
          <w:color w:val="000000"/>
          <w:sz w:val="32"/>
          <w:szCs w:val="36"/>
        </w:rPr>
        <w:t>1.评价结果分为优秀、合格、不合格三个等级。</w:t>
      </w:r>
    </w:p>
    <w:p w14:paraId="77E46390">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eastAsia="仿宋_GB2312"/>
          <w:sz w:val="32"/>
          <w:szCs w:val="36"/>
          <w:lang w:eastAsia="zh-CN"/>
        </w:rPr>
      </w:pPr>
      <w:r>
        <w:rPr>
          <w:rFonts w:ascii="仿宋_GB2312" w:eastAsia="仿宋_GB2312" w:cs="仿宋_GB2312"/>
          <w:color w:val="000000"/>
          <w:sz w:val="32"/>
          <w:szCs w:val="36"/>
        </w:rPr>
        <w:t>2.对评价优秀的自治区工程研究中心给予表扬</w:t>
      </w:r>
      <w:r>
        <w:rPr>
          <w:rFonts w:hint="eastAsia" w:ascii="仿宋_GB2312" w:eastAsia="仿宋_GB2312" w:cs="仿宋_GB2312"/>
          <w:color w:val="000000"/>
          <w:sz w:val="32"/>
          <w:szCs w:val="36"/>
          <w:lang w:eastAsia="zh-CN"/>
        </w:rPr>
        <w:t>，在当前或次年可优先安排中央预算内投资项目、优先推荐申报国家级创新平台。</w:t>
      </w:r>
    </w:p>
    <w:p w14:paraId="3B6AC6ED">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eastAsia="仿宋_GB2312" w:cs="仿宋_GB2312"/>
          <w:color w:val="000000"/>
          <w:sz w:val="32"/>
          <w:szCs w:val="36"/>
        </w:rPr>
        <w:t>3.对评价不合格的自治区工程研究中心，直接取消其资格。</w:t>
      </w:r>
    </w:p>
    <w:p w14:paraId="766E6C5D">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rFonts w:hint="eastAsia" w:ascii="楷体_GB2312" w:hAnsi="楷体_GB2312" w:eastAsia="楷体_GB2312" w:cs="楷体_GB2312"/>
          <w:b/>
          <w:bCs/>
          <w:color w:val="000000"/>
          <w:sz w:val="32"/>
          <w:szCs w:val="36"/>
        </w:rPr>
      </w:pPr>
      <w:r>
        <w:rPr>
          <w:rFonts w:hint="eastAsia" w:ascii="楷体_GB2312" w:hAnsi="楷体_GB2312" w:eastAsia="楷体_GB2312" w:cs="楷体_GB2312"/>
          <w:b/>
          <w:bCs/>
          <w:color w:val="000000"/>
          <w:sz w:val="32"/>
          <w:szCs w:val="36"/>
        </w:rPr>
        <w:t>（四）评价程序</w:t>
      </w:r>
    </w:p>
    <w:p w14:paraId="023FF06E">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1.自评。</w:t>
      </w:r>
      <w:r>
        <w:rPr>
          <w:rFonts w:ascii="仿宋_GB2312" w:eastAsia="仿宋_GB2312" w:cs="仿宋_GB2312"/>
          <w:color w:val="000000"/>
          <w:sz w:val="32"/>
          <w:szCs w:val="36"/>
        </w:rPr>
        <w:t>需要评价的自治区工程研究中心按照评价指标体系</w:t>
      </w:r>
      <w:r>
        <w:rPr>
          <w:rFonts w:hint="eastAsia" w:ascii="仿宋_GB2312" w:eastAsia="仿宋_GB2312" w:cs="仿宋_GB2312"/>
          <w:color w:val="000000"/>
          <w:sz w:val="32"/>
          <w:szCs w:val="36"/>
        </w:rPr>
        <w:t>进行自我评价，在线撰写评价报告并提交相关证明材料。</w:t>
      </w:r>
    </w:p>
    <w:p w14:paraId="01C96A6A">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2.评审。</w:t>
      </w:r>
      <w:r>
        <w:rPr>
          <w:rFonts w:hint="eastAsia" w:ascii="仿宋_GB2312" w:eastAsia="仿宋_GB2312" w:cs="仿宋_GB2312"/>
          <w:color w:val="000000"/>
          <w:sz w:val="32"/>
          <w:szCs w:val="36"/>
          <w:lang w:eastAsia="zh-CN"/>
        </w:rPr>
        <w:t>自治区发展改革委</w:t>
      </w:r>
      <w:r>
        <w:rPr>
          <w:rFonts w:hint="eastAsia" w:ascii="仿宋_GB2312" w:eastAsia="仿宋_GB2312" w:cs="仿宋_GB2312"/>
          <w:color w:val="000000"/>
          <w:sz w:val="32"/>
          <w:szCs w:val="36"/>
        </w:rPr>
        <w:t>邀请相关领域专家依据评价指标体系进行评审，形成初评意见。</w:t>
      </w:r>
    </w:p>
    <w:p w14:paraId="17DB3E64">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3.考察</w:t>
      </w:r>
      <w:r>
        <w:rPr>
          <w:rFonts w:hint="eastAsia" w:ascii="楷体_GB2312" w:eastAsia="楷体_GB2312" w:cs="楷体_GB2312"/>
          <w:color w:val="000000"/>
          <w:sz w:val="32"/>
          <w:szCs w:val="36"/>
        </w:rPr>
        <w:t>。</w:t>
      </w:r>
      <w:r>
        <w:rPr>
          <w:rFonts w:hint="eastAsia" w:ascii="仿宋_GB2312" w:eastAsia="仿宋_GB2312" w:cs="仿宋_GB2312"/>
          <w:color w:val="000000"/>
          <w:sz w:val="32"/>
          <w:szCs w:val="36"/>
          <w:lang w:eastAsia="zh-CN"/>
        </w:rPr>
        <w:t>自治区发展改革委</w:t>
      </w:r>
      <w:r>
        <w:rPr>
          <w:rFonts w:hint="eastAsia" w:ascii="仿宋_GB2312" w:eastAsia="仿宋_GB2312" w:cs="仿宋_GB2312"/>
          <w:color w:val="000000"/>
          <w:sz w:val="32"/>
          <w:szCs w:val="36"/>
        </w:rPr>
        <w:t>邀请相关领域专家对部分工程研究中心的研发能力、人才队伍建设、经济社会效益</w:t>
      </w:r>
      <w:r>
        <w:rPr>
          <w:rFonts w:hint="eastAsia" w:ascii="仿宋_GB2312" w:eastAsia="仿宋_GB2312" w:cs="仿宋_GB2312"/>
          <w:color w:val="000000"/>
          <w:sz w:val="32"/>
          <w:szCs w:val="36"/>
          <w:lang w:eastAsia="zh-CN"/>
        </w:rPr>
        <w:t>、未来布局</w:t>
      </w:r>
      <w:r>
        <w:rPr>
          <w:rFonts w:hint="eastAsia" w:ascii="仿宋_GB2312" w:eastAsia="仿宋_GB2312" w:cs="仿宋_GB2312"/>
          <w:color w:val="000000"/>
          <w:sz w:val="32"/>
          <w:szCs w:val="36"/>
        </w:rPr>
        <w:t>等方面进行实地考察，形成意见。</w:t>
      </w:r>
    </w:p>
    <w:p w14:paraId="63592CBA">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4.核定</w:t>
      </w:r>
      <w:r>
        <w:rPr>
          <w:rFonts w:hint="eastAsia" w:ascii="楷体_GB2312" w:eastAsia="楷体_GB2312" w:cs="楷体_GB2312"/>
          <w:color w:val="000000"/>
          <w:sz w:val="32"/>
          <w:szCs w:val="36"/>
        </w:rPr>
        <w:t>。</w:t>
      </w:r>
      <w:r>
        <w:rPr>
          <w:rFonts w:hint="eastAsia" w:ascii="仿宋_GB2312" w:eastAsia="仿宋_GB2312" w:cs="仿宋_GB2312"/>
          <w:color w:val="000000"/>
          <w:sz w:val="32"/>
          <w:szCs w:val="36"/>
          <w:lang w:eastAsia="zh-CN"/>
        </w:rPr>
        <w:t>自治区发展改革委</w:t>
      </w:r>
      <w:r>
        <w:rPr>
          <w:rFonts w:hint="eastAsia" w:ascii="仿宋_GB2312" w:eastAsia="仿宋_GB2312" w:cs="仿宋_GB2312"/>
          <w:color w:val="000000"/>
          <w:sz w:val="32"/>
          <w:szCs w:val="36"/>
        </w:rPr>
        <w:t>邀请相关领域专家在评分结果的基础上，结合市场环境等因素，讨论形成综合评议意见，给出优秀、合格和不合格三个等级的评价结果。</w:t>
      </w:r>
    </w:p>
    <w:p w14:paraId="67EE660A">
      <w:pPr>
        <w:pStyle w:val="13"/>
        <w:keepNext w:val="0"/>
        <w:keepLines w:val="0"/>
        <w:pageBreakBefore w:val="0"/>
        <w:widowControl w:val="0"/>
        <w:suppressLineNumbers w:val="0"/>
        <w:kinsoku/>
        <w:wordWrap/>
        <w:overflowPunct/>
        <w:topLinePunct w:val="0"/>
        <w:autoSpaceDE/>
        <w:autoSpaceDN/>
        <w:bidi w:val="0"/>
        <w:adjustRightInd/>
        <w:snapToGrid/>
        <w:ind w:left="0" w:firstLine="640"/>
        <w:jc w:val="both"/>
        <w:textAlignment w:val="auto"/>
        <w:rPr>
          <w:sz w:val="32"/>
          <w:szCs w:val="36"/>
        </w:rPr>
      </w:pPr>
      <w:r>
        <w:rPr>
          <w:rFonts w:hint="eastAsia" w:ascii="仿宋_GB2312" w:hAnsi="仿宋_GB2312" w:eastAsia="仿宋_GB2312" w:cs="仿宋_GB2312"/>
          <w:b/>
          <w:bCs/>
          <w:color w:val="000000"/>
          <w:sz w:val="32"/>
          <w:szCs w:val="36"/>
        </w:rPr>
        <w:t>5.公布。</w:t>
      </w:r>
      <w:r>
        <w:rPr>
          <w:rFonts w:hint="eastAsia" w:ascii="仿宋_GB2312" w:eastAsia="仿宋_GB2312" w:cs="仿宋_GB2312"/>
          <w:color w:val="000000"/>
          <w:sz w:val="32"/>
          <w:szCs w:val="36"/>
        </w:rPr>
        <w:t>评价结果经公示及征求有关单位意见后，以自治区发展改革委名义印发公布。</w:t>
      </w:r>
    </w:p>
    <w:p w14:paraId="10ED318A">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40"/>
        <w:jc w:val="both"/>
        <w:textAlignment w:val="auto"/>
        <w:outlineLvl w:val="9"/>
        <w:rPr>
          <w:sz w:val="32"/>
          <w:szCs w:val="36"/>
        </w:rPr>
      </w:pPr>
      <w:r>
        <w:rPr>
          <w:rFonts w:ascii="黑体" w:hAnsi="宋体" w:eastAsia="黑体" w:cs="黑体"/>
          <w:color w:val="000000"/>
          <w:sz w:val="32"/>
          <w:szCs w:val="36"/>
        </w:rPr>
        <w:t>三、其他事项</w:t>
      </w:r>
    </w:p>
    <w:p w14:paraId="04D56095">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616" w:firstLineChars="200"/>
        <w:jc w:val="both"/>
        <w:textAlignment w:val="auto"/>
        <w:outlineLvl w:val="9"/>
        <w:rPr>
          <w:rFonts w:hint="eastAsia" w:ascii="仿宋_GB2312" w:hAnsi="宋体" w:eastAsia="仿宋_GB2312" w:cs="仿宋_GB2312"/>
          <w:color w:val="000000"/>
          <w:sz w:val="32"/>
          <w:szCs w:val="36"/>
        </w:rPr>
      </w:pPr>
      <w:r>
        <w:rPr>
          <w:rFonts w:hint="eastAsia" w:ascii="仿宋_GB2312" w:hAnsi="宋体" w:eastAsia="仿宋_GB2312" w:cs="仿宋_GB2312"/>
          <w:color w:val="000000"/>
          <w:sz w:val="32"/>
          <w:szCs w:val="36"/>
          <w:lang w:val="en-US" w:eastAsia="zh-CN"/>
        </w:rPr>
        <w:t>（一）请</w:t>
      </w:r>
      <w:r>
        <w:rPr>
          <w:rFonts w:hint="eastAsia" w:ascii="仿宋_GB2312" w:eastAsia="仿宋_GB2312" w:cs="仿宋_GB2312"/>
          <w:color w:val="000000"/>
          <w:sz w:val="32"/>
          <w:szCs w:val="36"/>
          <w:lang w:val="en-US" w:eastAsia="zh-CN"/>
        </w:rPr>
        <w:t>自治区</w:t>
      </w:r>
      <w:r>
        <w:rPr>
          <w:rFonts w:hint="eastAsia" w:ascii="仿宋_GB2312" w:hAnsi="宋体" w:eastAsia="仿宋_GB2312" w:cs="仿宋_GB2312"/>
          <w:color w:val="000000"/>
          <w:sz w:val="32"/>
          <w:szCs w:val="36"/>
          <w:lang w:val="en-US" w:eastAsia="zh-CN"/>
        </w:rPr>
        <w:t>各有关单位</w:t>
      </w:r>
      <w:r>
        <w:rPr>
          <w:rFonts w:hint="eastAsia" w:ascii="仿宋_GB2312" w:eastAsia="仿宋_GB2312" w:cs="仿宋_GB2312"/>
          <w:color w:val="000000"/>
          <w:sz w:val="32"/>
          <w:szCs w:val="36"/>
          <w:lang w:val="en-US" w:eastAsia="zh-CN"/>
        </w:rPr>
        <w:t>按照</w:t>
      </w:r>
      <w:r>
        <w:rPr>
          <w:rFonts w:hint="eastAsia" w:ascii="仿宋_GB2312" w:hAnsi="仿宋_GB2312" w:eastAsia="仿宋_GB2312" w:cs="仿宋_GB2312"/>
          <w:snapToGrid w:val="0"/>
          <w:color w:val="auto"/>
          <w:kern w:val="0"/>
          <w:sz w:val="32"/>
          <w:szCs w:val="36"/>
          <w:lang w:val="en-US" w:eastAsia="zh-CN" w:bidi="ar-SA"/>
        </w:rPr>
        <w:t>《管理办法》和通知要求，</w:t>
      </w:r>
      <w:r>
        <w:rPr>
          <w:rFonts w:hint="eastAsia" w:ascii="仿宋_GB2312" w:hAnsi="宋体" w:eastAsia="仿宋_GB2312" w:cs="仿宋_GB2312"/>
          <w:color w:val="000000"/>
          <w:sz w:val="32"/>
          <w:szCs w:val="36"/>
          <w:lang w:val="en-US" w:eastAsia="zh-CN"/>
        </w:rPr>
        <w:t>组织所主管企业、高校、科研院所的申</w:t>
      </w:r>
      <w:r>
        <w:rPr>
          <w:rFonts w:hint="eastAsia" w:ascii="仿宋_GB2312" w:hAnsi="宋体" w:eastAsia="仿宋_GB2312" w:cs="仿宋_GB2312"/>
          <w:color w:val="000000"/>
          <w:sz w:val="32"/>
          <w:szCs w:val="36"/>
        </w:rPr>
        <w:t>报</w:t>
      </w:r>
      <w:r>
        <w:rPr>
          <w:rFonts w:hint="eastAsia" w:ascii="仿宋_GB2312" w:eastAsia="仿宋_GB2312" w:cs="仿宋_GB2312"/>
          <w:color w:val="000000"/>
          <w:sz w:val="32"/>
          <w:szCs w:val="36"/>
          <w:lang w:eastAsia="zh-CN"/>
        </w:rPr>
        <w:t>；</w:t>
      </w:r>
      <w:r>
        <w:rPr>
          <w:rFonts w:hint="eastAsia" w:ascii="仿宋_GB2312" w:hAnsi="宋体" w:eastAsia="仿宋_GB2312" w:cs="仿宋_GB2312"/>
          <w:color w:val="000000"/>
          <w:sz w:val="32"/>
          <w:szCs w:val="36"/>
        </w:rPr>
        <w:t>各设区市发展改革委组织属地企业、机构的申报</w:t>
      </w:r>
      <w:r>
        <w:rPr>
          <w:rFonts w:hint="eastAsia" w:ascii="仿宋_GB2312" w:eastAsia="仿宋_GB2312" w:cs="仿宋_GB2312"/>
          <w:color w:val="000000"/>
          <w:sz w:val="32"/>
          <w:szCs w:val="36"/>
          <w:lang w:eastAsia="zh-CN"/>
        </w:rPr>
        <w:t>。涉及评价的自治区工程研究中心由所属</w:t>
      </w:r>
      <w:r>
        <w:rPr>
          <w:rFonts w:hint="eastAsia" w:ascii="仿宋_GB2312" w:hAnsi="宋体" w:eastAsia="仿宋_GB2312" w:cs="仿宋_GB2312"/>
          <w:color w:val="000000"/>
          <w:sz w:val="32"/>
          <w:szCs w:val="36"/>
        </w:rPr>
        <w:t>设区市发展改革委组织评价</w:t>
      </w:r>
      <w:r>
        <w:rPr>
          <w:rFonts w:hint="eastAsia" w:ascii="仿宋_GB2312" w:eastAsia="仿宋_GB2312" w:cs="仿宋_GB2312"/>
          <w:color w:val="000000"/>
          <w:sz w:val="32"/>
          <w:szCs w:val="36"/>
          <w:lang w:eastAsia="zh-CN"/>
        </w:rPr>
        <w:t>。</w:t>
      </w:r>
      <w:bookmarkStart w:id="0" w:name="_GoBack"/>
      <w:r>
        <w:rPr>
          <w:rFonts w:hint="eastAsia" w:ascii="仿宋_GB2312" w:eastAsia="仿宋_GB2312" w:cs="仿宋_GB2312"/>
          <w:color w:val="000000"/>
          <w:sz w:val="32"/>
          <w:szCs w:val="36"/>
          <w:lang w:eastAsia="zh-CN"/>
        </w:rPr>
        <w:t>并</w:t>
      </w:r>
      <w:r>
        <w:rPr>
          <w:rFonts w:hint="eastAsia" w:ascii="仿宋_GB2312" w:hAnsi="宋体" w:eastAsia="仿宋_GB2312" w:cs="仿宋_GB2312"/>
          <w:color w:val="000000"/>
          <w:sz w:val="32"/>
          <w:szCs w:val="36"/>
        </w:rPr>
        <w:t>于202</w:t>
      </w:r>
      <w:r>
        <w:rPr>
          <w:rFonts w:hint="eastAsia" w:ascii="仿宋_GB2312" w:hAnsi="宋体" w:eastAsia="仿宋_GB2312" w:cs="仿宋_GB2312"/>
          <w:color w:val="000000"/>
          <w:sz w:val="32"/>
          <w:szCs w:val="36"/>
          <w:lang w:val="en-US" w:eastAsia="zh-CN"/>
        </w:rPr>
        <w:t>5</w:t>
      </w:r>
      <w:r>
        <w:rPr>
          <w:rFonts w:hint="eastAsia" w:ascii="仿宋_GB2312" w:hAnsi="宋体" w:eastAsia="仿宋_GB2312" w:cs="仿宋_GB2312"/>
          <w:color w:val="000000"/>
          <w:sz w:val="32"/>
          <w:szCs w:val="36"/>
        </w:rPr>
        <w:t>年</w:t>
      </w:r>
      <w:r>
        <w:rPr>
          <w:rFonts w:hint="eastAsia" w:ascii="仿宋_GB2312" w:eastAsia="仿宋_GB2312" w:cs="仿宋_GB2312"/>
          <w:color w:val="000000"/>
          <w:sz w:val="32"/>
          <w:szCs w:val="36"/>
          <w:lang w:val="en-US" w:eastAsia="zh-CN"/>
        </w:rPr>
        <w:t>8</w:t>
      </w:r>
      <w:r>
        <w:rPr>
          <w:rFonts w:hint="eastAsia" w:ascii="仿宋_GB2312" w:hAnsi="宋体" w:eastAsia="仿宋_GB2312" w:cs="仿宋_GB2312"/>
          <w:color w:val="000000"/>
          <w:sz w:val="32"/>
          <w:szCs w:val="36"/>
        </w:rPr>
        <w:t>月</w:t>
      </w:r>
      <w:r>
        <w:rPr>
          <w:rFonts w:hint="eastAsia" w:ascii="仿宋_GB2312" w:eastAsia="仿宋_GB2312" w:cs="仿宋_GB2312"/>
          <w:color w:val="000000"/>
          <w:sz w:val="32"/>
          <w:szCs w:val="36"/>
          <w:lang w:val="en-US" w:eastAsia="zh-CN"/>
        </w:rPr>
        <w:t>1</w:t>
      </w:r>
      <w:r>
        <w:rPr>
          <w:rFonts w:hint="default" w:ascii="仿宋_GB2312" w:eastAsia="仿宋_GB2312" w:cs="仿宋_GB2312"/>
          <w:color w:val="000000"/>
          <w:sz w:val="32"/>
          <w:szCs w:val="36"/>
          <w:lang w:val="en-US" w:eastAsia="zh-CN"/>
        </w:rPr>
        <w:t>0</w:t>
      </w:r>
      <w:r>
        <w:rPr>
          <w:rFonts w:hint="eastAsia" w:ascii="仿宋_GB2312" w:hAnsi="宋体" w:eastAsia="仿宋_GB2312" w:cs="仿宋_GB2312"/>
          <w:color w:val="000000"/>
          <w:sz w:val="32"/>
          <w:szCs w:val="36"/>
        </w:rPr>
        <w:t>日24:00</w:t>
      </w:r>
      <w:r>
        <w:rPr>
          <w:rFonts w:hint="eastAsia" w:ascii="仿宋_GB2312" w:hAnsi="宋体" w:eastAsia="仿宋_GB2312" w:cs="仿宋_GB2312"/>
          <w:color w:val="000000"/>
          <w:spacing w:val="-6"/>
          <w:sz w:val="32"/>
          <w:szCs w:val="36"/>
        </w:rPr>
        <w:t>前通过广西投资项目在线审批监管平</w:t>
      </w:r>
      <w:r>
        <w:rPr>
          <w:rFonts w:hint="eastAsia" w:ascii="仿宋_GB2312" w:eastAsia="仿宋_GB2312" w:cs="仿宋_GB2312"/>
          <w:color w:val="000000"/>
          <w:spacing w:val="-6"/>
          <w:sz w:val="32"/>
          <w:szCs w:val="36"/>
          <w:lang w:eastAsia="zh-CN"/>
        </w:rPr>
        <w:t>台</w:t>
      </w:r>
      <w:r>
        <w:rPr>
          <w:rFonts w:hint="eastAsia" w:ascii="仿宋_GB2312" w:hAnsi="宋体" w:eastAsia="仿宋_GB2312" w:cs="仿宋_GB2312"/>
          <w:color w:val="000000"/>
          <w:spacing w:val="-6"/>
          <w:sz w:val="32"/>
          <w:szCs w:val="36"/>
        </w:rPr>
        <w:t>（https://zxsp.fgw.gxzf.gov.cn/）进行线上填报，逾期不再受理。</w:t>
      </w:r>
    </w:p>
    <w:bookmarkEnd w:id="0"/>
    <w:p w14:paraId="37DF8627">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40"/>
        <w:jc w:val="both"/>
        <w:textAlignment w:val="auto"/>
        <w:outlineLvl w:val="9"/>
        <w:rPr>
          <w:rFonts w:hint="eastAsia" w:ascii="仿宋_GB2312" w:hAnsi="宋体" w:eastAsia="仿宋_GB2312" w:cs="仿宋_GB2312"/>
          <w:color w:val="000000"/>
          <w:sz w:val="32"/>
          <w:szCs w:val="36"/>
          <w:lang w:val="en-US" w:eastAsia="zh-CN"/>
        </w:rPr>
      </w:pPr>
      <w:r>
        <w:rPr>
          <w:rFonts w:hint="eastAsia" w:ascii="仿宋_GB2312" w:hAnsi="宋体" w:eastAsia="仿宋_GB2312" w:cs="仿宋_GB2312"/>
          <w:color w:val="000000"/>
          <w:sz w:val="32"/>
          <w:szCs w:val="36"/>
          <w:lang w:val="en-US" w:eastAsia="zh-CN"/>
        </w:rPr>
        <w:t>（二）</w:t>
      </w:r>
      <w:r>
        <w:rPr>
          <w:rFonts w:hint="eastAsia" w:ascii="仿宋_GB2312" w:eastAsia="仿宋_GB2312" w:cs="仿宋_GB2312"/>
          <w:color w:val="000000"/>
          <w:sz w:val="32"/>
          <w:szCs w:val="36"/>
          <w:lang w:val="en-US" w:eastAsia="zh-CN"/>
        </w:rPr>
        <w:t>各申报及评价</w:t>
      </w:r>
      <w:r>
        <w:rPr>
          <w:rFonts w:hint="eastAsia" w:ascii="仿宋_GB2312" w:hAnsi="宋体" w:eastAsia="仿宋_GB2312" w:cs="仿宋_GB2312"/>
          <w:color w:val="000000"/>
          <w:sz w:val="32"/>
          <w:szCs w:val="36"/>
          <w:lang w:val="en-US" w:eastAsia="zh-CN"/>
        </w:rPr>
        <w:t>全部电子版材料</w:t>
      </w:r>
      <w:r>
        <w:rPr>
          <w:rFonts w:hint="eastAsia" w:ascii="仿宋_GB2312" w:eastAsia="仿宋_GB2312" w:cs="仿宋_GB2312"/>
          <w:color w:val="000000"/>
          <w:sz w:val="32"/>
          <w:szCs w:val="36"/>
          <w:lang w:val="en-US" w:eastAsia="zh-CN"/>
        </w:rPr>
        <w:t>先</w:t>
      </w:r>
      <w:r>
        <w:rPr>
          <w:rFonts w:hint="eastAsia" w:ascii="仿宋_GB2312" w:hAnsi="宋体" w:eastAsia="仿宋_GB2312" w:cs="仿宋_GB2312"/>
          <w:color w:val="000000"/>
          <w:sz w:val="32"/>
          <w:szCs w:val="36"/>
          <w:lang w:val="en-US" w:eastAsia="zh-CN"/>
        </w:rPr>
        <w:t>以压缩包</w:t>
      </w:r>
      <w:r>
        <w:rPr>
          <w:rFonts w:hint="eastAsia" w:ascii="仿宋_GB2312" w:eastAsia="仿宋_GB2312" w:cs="仿宋_GB2312"/>
          <w:color w:val="000000"/>
          <w:sz w:val="32"/>
          <w:szCs w:val="36"/>
          <w:lang w:val="en-US" w:eastAsia="zh-CN"/>
        </w:rPr>
        <w:t>（</w:t>
      </w:r>
      <w:r>
        <w:rPr>
          <w:rFonts w:hint="eastAsia" w:ascii="仿宋_GB2312" w:hAnsi="宋体" w:eastAsia="仿宋_GB2312" w:cs="仿宋_GB2312"/>
          <w:color w:val="000000"/>
          <w:sz w:val="32"/>
          <w:szCs w:val="36"/>
          <w:lang w:val="en-US" w:eastAsia="zh-CN"/>
        </w:rPr>
        <w:t>统一命名为：2025年XX自治区工程研究中心申报（评价）材料</w:t>
      </w:r>
      <w:r>
        <w:rPr>
          <w:rFonts w:hint="eastAsia" w:ascii="仿宋_GB2312" w:eastAsia="仿宋_GB2312" w:cs="仿宋_GB2312"/>
          <w:color w:val="000000"/>
          <w:sz w:val="32"/>
          <w:szCs w:val="36"/>
          <w:lang w:val="en-US" w:eastAsia="zh-CN"/>
        </w:rPr>
        <w:t>）</w:t>
      </w:r>
      <w:r>
        <w:rPr>
          <w:rFonts w:hint="eastAsia" w:ascii="仿宋_GB2312" w:hAnsi="宋体" w:eastAsia="仿宋_GB2312" w:cs="仿宋_GB2312"/>
          <w:color w:val="000000"/>
          <w:sz w:val="32"/>
          <w:szCs w:val="36"/>
          <w:lang w:val="en-US" w:eastAsia="zh-CN"/>
        </w:rPr>
        <w:t>形式报送至各推荐单位、各设区市发展改革委。为发挥行业主管部门的指导作用和地市的属地管理责任，请</w:t>
      </w:r>
      <w:r>
        <w:rPr>
          <w:rFonts w:hint="eastAsia" w:ascii="仿宋_GB2312" w:eastAsia="仿宋_GB2312" w:cs="仿宋_GB2312"/>
          <w:color w:val="000000"/>
          <w:sz w:val="32"/>
          <w:szCs w:val="36"/>
          <w:lang w:val="en-US" w:eastAsia="zh-CN"/>
        </w:rPr>
        <w:t>自治区</w:t>
      </w:r>
      <w:r>
        <w:rPr>
          <w:rFonts w:hint="eastAsia" w:ascii="仿宋_GB2312" w:hAnsi="宋体" w:eastAsia="仿宋_GB2312" w:cs="仿宋_GB2312"/>
          <w:color w:val="000000"/>
          <w:sz w:val="32"/>
          <w:szCs w:val="36"/>
          <w:lang w:val="en-US" w:eastAsia="zh-CN"/>
        </w:rPr>
        <w:t>各有关单位和各设区市发展改革委切实强化审核和管理责任，对拟推荐的自治区工程研究中心</w:t>
      </w:r>
      <w:r>
        <w:rPr>
          <w:rFonts w:hint="eastAsia" w:ascii="仿宋_GB2312" w:eastAsia="仿宋_GB2312" w:cs="仿宋_GB2312"/>
          <w:color w:val="000000"/>
          <w:sz w:val="32"/>
          <w:szCs w:val="36"/>
          <w:lang w:val="en-US" w:eastAsia="zh-CN"/>
        </w:rPr>
        <w:t>和</w:t>
      </w:r>
      <w:r>
        <w:rPr>
          <w:rFonts w:hint="eastAsia" w:ascii="仿宋_GB2312" w:hAnsi="仿宋_GB2312" w:eastAsia="仿宋_GB2312" w:cs="仿宋_GB2312"/>
          <w:snapToGrid w:val="0"/>
          <w:color w:val="auto"/>
          <w:kern w:val="0"/>
          <w:sz w:val="32"/>
          <w:szCs w:val="36"/>
          <w:lang w:val="en-US" w:eastAsia="zh-CN" w:bidi="ar-SA"/>
        </w:rPr>
        <w:t>自治区人工智能场景工程研究中心</w:t>
      </w:r>
      <w:r>
        <w:rPr>
          <w:rFonts w:hint="eastAsia" w:ascii="仿宋_GB2312" w:hAnsi="宋体" w:eastAsia="仿宋_GB2312" w:cs="仿宋_GB2312"/>
          <w:color w:val="000000"/>
          <w:sz w:val="32"/>
          <w:szCs w:val="36"/>
          <w:lang w:val="en-US" w:eastAsia="zh-CN"/>
        </w:rPr>
        <w:t>材料</w:t>
      </w:r>
      <w:r>
        <w:rPr>
          <w:rFonts w:hint="eastAsia" w:ascii="仿宋_GB2312" w:eastAsia="仿宋_GB2312" w:cs="仿宋_GB2312"/>
          <w:color w:val="000000"/>
          <w:sz w:val="32"/>
          <w:szCs w:val="36"/>
          <w:lang w:val="en-US" w:eastAsia="zh-CN"/>
        </w:rPr>
        <w:t>进行严格审核，出具审核意见后，并</w:t>
      </w:r>
      <w:r>
        <w:rPr>
          <w:rFonts w:hint="eastAsia" w:ascii="仿宋_GB2312" w:hAnsi="仿宋_GB2312" w:eastAsia="仿宋_GB2312" w:cs="仿宋_GB2312"/>
          <w:snapToGrid w:val="0"/>
          <w:color w:val="auto"/>
          <w:kern w:val="0"/>
          <w:sz w:val="32"/>
          <w:szCs w:val="36"/>
          <w:lang w:val="en-US" w:eastAsia="zh-CN" w:bidi="ar-SA"/>
        </w:rPr>
        <w:t>将推荐文件、审核报送数据表</w:t>
      </w:r>
      <w:r>
        <w:rPr>
          <w:rFonts w:hint="eastAsia" w:ascii="仿宋_GB2312" w:hAnsi="仿宋_GB2312" w:eastAsia="仿宋_GB2312" w:cs="仿宋_GB2312"/>
          <w:snapToGrid w:val="0"/>
          <w:color w:val="auto"/>
          <w:kern w:val="0"/>
          <w:sz w:val="32"/>
          <w:szCs w:val="36"/>
          <w:u w:val="none"/>
          <w:lang w:val="en-US" w:eastAsia="zh-CN" w:bidi="ar-SA"/>
        </w:rPr>
        <w:t>（见附件5）</w:t>
      </w:r>
      <w:r>
        <w:rPr>
          <w:rFonts w:hint="eastAsia" w:ascii="仿宋_GB2312" w:hAnsi="仿宋_GB2312" w:eastAsia="仿宋_GB2312" w:cs="仿宋_GB2312"/>
          <w:snapToGrid w:val="0"/>
          <w:color w:val="auto"/>
          <w:kern w:val="0"/>
          <w:sz w:val="32"/>
          <w:szCs w:val="36"/>
          <w:lang w:val="en-US" w:eastAsia="zh-CN" w:bidi="ar-SA"/>
        </w:rPr>
        <w:t>于</w:t>
      </w:r>
      <w:r>
        <w:rPr>
          <w:rFonts w:hint="eastAsia" w:ascii="仿宋_GB2312" w:hAnsi="宋体" w:eastAsia="仿宋_GB2312" w:cs="仿宋_GB2312"/>
          <w:color w:val="000000"/>
          <w:sz w:val="32"/>
          <w:szCs w:val="36"/>
          <w:lang w:val="en-US" w:eastAsia="zh-CN"/>
        </w:rPr>
        <w:t>2025年</w:t>
      </w:r>
      <w:r>
        <w:rPr>
          <w:rFonts w:hint="eastAsia" w:ascii="仿宋_GB2312" w:eastAsia="仿宋_GB2312" w:cs="仿宋_GB2312"/>
          <w:color w:val="000000"/>
          <w:sz w:val="32"/>
          <w:szCs w:val="36"/>
          <w:lang w:val="en-US" w:eastAsia="zh-CN"/>
        </w:rPr>
        <w:t>8</w:t>
      </w:r>
      <w:r>
        <w:rPr>
          <w:rFonts w:hint="eastAsia" w:ascii="仿宋_GB2312" w:hAnsi="宋体" w:eastAsia="仿宋_GB2312" w:cs="仿宋_GB2312"/>
          <w:color w:val="000000"/>
          <w:sz w:val="32"/>
          <w:szCs w:val="36"/>
          <w:lang w:val="en-US" w:eastAsia="zh-CN"/>
        </w:rPr>
        <w:t>月</w:t>
      </w:r>
      <w:r>
        <w:rPr>
          <w:rFonts w:hint="eastAsia" w:ascii="仿宋_GB2312" w:eastAsia="仿宋_GB2312" w:cs="仿宋_GB2312"/>
          <w:color w:val="000000"/>
          <w:sz w:val="32"/>
          <w:szCs w:val="36"/>
          <w:lang w:val="en-US" w:eastAsia="zh-CN"/>
        </w:rPr>
        <w:t>1</w:t>
      </w:r>
      <w:r>
        <w:rPr>
          <w:rFonts w:hint="default" w:ascii="仿宋_GB2312" w:eastAsia="仿宋_GB2312" w:cs="仿宋_GB2312"/>
          <w:color w:val="000000"/>
          <w:sz w:val="32"/>
          <w:szCs w:val="36"/>
          <w:lang w:val="en-US" w:eastAsia="zh-CN"/>
        </w:rPr>
        <w:t>5</w:t>
      </w:r>
      <w:r>
        <w:rPr>
          <w:rFonts w:hint="eastAsia" w:ascii="仿宋_GB2312" w:hAnsi="宋体" w:eastAsia="仿宋_GB2312" w:cs="仿宋_GB2312"/>
          <w:color w:val="000000"/>
          <w:sz w:val="32"/>
          <w:szCs w:val="36"/>
          <w:lang w:val="en-US" w:eastAsia="zh-CN"/>
        </w:rPr>
        <w:t>日前由所在设区市发展改革委或行业主管部门统一函送自治区发展改革委。经复核后，因不满足基础条件未通过复核的，我委将在下一年度限制报送推荐名额。</w:t>
      </w:r>
    </w:p>
    <w:p w14:paraId="389DC06D">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40"/>
        <w:jc w:val="both"/>
        <w:textAlignment w:val="auto"/>
        <w:outlineLvl w:val="9"/>
        <w:rPr>
          <w:rFonts w:hint="eastAsia" w:ascii="仿宋_GB2312" w:hAnsi="宋体" w:eastAsia="仿宋_GB2312" w:cs="仿宋_GB2312"/>
          <w:color w:val="000000"/>
          <w:sz w:val="32"/>
          <w:szCs w:val="36"/>
          <w:lang w:val="en-US" w:eastAsia="zh-CN"/>
        </w:rPr>
      </w:pPr>
      <w:r>
        <w:rPr>
          <w:rFonts w:hint="eastAsia" w:ascii="仿宋_GB2312" w:hAnsi="宋体" w:eastAsia="仿宋_GB2312" w:cs="仿宋_GB2312"/>
          <w:color w:val="000000"/>
          <w:sz w:val="32"/>
          <w:szCs w:val="36"/>
          <w:lang w:val="en-US" w:eastAsia="zh-CN"/>
        </w:rPr>
        <w:t>（三）待2025年自治区工程研究中心</w:t>
      </w:r>
      <w:r>
        <w:rPr>
          <w:rFonts w:hint="eastAsia" w:ascii="仿宋_GB2312" w:eastAsia="仿宋_GB2312" w:cs="仿宋_GB2312"/>
          <w:color w:val="000000"/>
          <w:sz w:val="32"/>
          <w:szCs w:val="36"/>
          <w:lang w:val="en-US" w:eastAsia="zh-CN"/>
        </w:rPr>
        <w:t>（</w:t>
      </w:r>
      <w:r>
        <w:rPr>
          <w:rFonts w:hint="eastAsia" w:ascii="仿宋_GB2312" w:hAnsi="仿宋_GB2312" w:eastAsia="仿宋_GB2312" w:cs="仿宋_GB2312"/>
          <w:snapToGrid w:val="0"/>
          <w:color w:val="auto"/>
          <w:kern w:val="0"/>
          <w:sz w:val="32"/>
          <w:szCs w:val="36"/>
          <w:lang w:val="en-US" w:eastAsia="zh-CN" w:bidi="ar-SA"/>
        </w:rPr>
        <w:t>自治区人工智能场景工程研究中心）</w:t>
      </w:r>
      <w:r>
        <w:rPr>
          <w:rFonts w:hint="eastAsia" w:ascii="仿宋_GB2312" w:hAnsi="宋体" w:eastAsia="仿宋_GB2312" w:cs="仿宋_GB2312"/>
          <w:color w:val="000000"/>
          <w:sz w:val="32"/>
          <w:szCs w:val="36"/>
          <w:lang w:val="en-US" w:eastAsia="zh-CN"/>
        </w:rPr>
        <w:t>认定公布后，获批申报单位需将申请报告（含配套数据证明材料）按顺序装订成册，报送纸质版材料一式两份至我委备案存档。评价工作不需要报送纸质版材料。</w:t>
      </w:r>
    </w:p>
    <w:p w14:paraId="3CD64F02">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40"/>
        <w:jc w:val="both"/>
        <w:textAlignment w:val="auto"/>
        <w:outlineLvl w:val="9"/>
        <w:rPr>
          <w:rFonts w:hint="eastAsia" w:ascii="仿宋_GB2312" w:hAnsi="宋体" w:eastAsia="仿宋_GB2312" w:cs="仿宋_GB2312"/>
          <w:color w:val="000000"/>
          <w:sz w:val="32"/>
          <w:szCs w:val="36"/>
          <w:lang w:val="en-US" w:eastAsia="zh-CN"/>
        </w:rPr>
      </w:pPr>
      <w:r>
        <w:rPr>
          <w:rFonts w:hint="eastAsia" w:ascii="仿宋_GB2312" w:hAnsi="宋体" w:eastAsia="仿宋_GB2312" w:cs="仿宋_GB2312"/>
          <w:color w:val="000000"/>
          <w:sz w:val="32"/>
          <w:szCs w:val="36"/>
          <w:lang w:val="en-US" w:eastAsia="zh-CN"/>
        </w:rPr>
        <w:t>（四）我委将组织专家或委托评估咨询机构进行评审论证，结果经公示后向社会公布。</w:t>
      </w:r>
    </w:p>
    <w:p w14:paraId="5C229374">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40"/>
        <w:jc w:val="both"/>
        <w:textAlignment w:val="auto"/>
        <w:outlineLvl w:val="9"/>
        <w:rPr>
          <w:sz w:val="32"/>
          <w:szCs w:val="36"/>
        </w:rPr>
      </w:pPr>
      <w:r>
        <w:rPr>
          <w:rFonts w:hint="eastAsia" w:ascii="仿宋_GB2312" w:hAnsi="宋体" w:eastAsia="仿宋_GB2312" w:cs="仿宋_GB2312"/>
          <w:color w:val="000000"/>
          <w:sz w:val="32"/>
          <w:szCs w:val="36"/>
          <w:lang w:val="en-US" w:eastAsia="zh-CN"/>
        </w:rPr>
        <w:t>未尽事宜，请联系自治区发展改革委高技处</w:t>
      </w:r>
      <w:r>
        <w:rPr>
          <w:rFonts w:hint="eastAsia" w:ascii="仿宋_GB2312" w:eastAsia="仿宋_GB2312" w:cs="仿宋_GB2312"/>
          <w:color w:val="000000"/>
          <w:sz w:val="32"/>
          <w:szCs w:val="36"/>
          <w:lang w:val="en-US" w:eastAsia="zh-CN"/>
        </w:rPr>
        <w:t>黄中山、皮小明</w:t>
      </w:r>
      <w:r>
        <w:rPr>
          <w:rFonts w:hint="eastAsia" w:ascii="仿宋_GB2312" w:hAnsi="宋体" w:eastAsia="仿宋_GB2312" w:cs="仿宋_GB2312"/>
          <w:color w:val="000000"/>
          <w:sz w:val="32"/>
          <w:szCs w:val="36"/>
          <w:lang w:val="en-US" w:eastAsia="zh-CN"/>
        </w:rPr>
        <w:t>，</w:t>
      </w:r>
      <w:r>
        <w:rPr>
          <w:rFonts w:hint="eastAsia" w:ascii="仿宋_GB2312" w:eastAsia="仿宋_GB2312" w:cs="仿宋_GB2312"/>
          <w:color w:val="000000"/>
          <w:sz w:val="32"/>
          <w:szCs w:val="36"/>
          <w:lang w:val="en-US" w:eastAsia="zh-CN"/>
        </w:rPr>
        <w:t>0</w:t>
      </w:r>
      <w:r>
        <w:rPr>
          <w:rFonts w:hint="eastAsia" w:ascii="仿宋_GB2312" w:eastAsia="仿宋_GB2312" w:cs="仿宋_GB2312"/>
          <w:color w:val="000000"/>
          <w:sz w:val="32"/>
          <w:szCs w:val="36"/>
        </w:rPr>
        <w:t>771-2328</w:t>
      </w:r>
      <w:r>
        <w:rPr>
          <w:rFonts w:hint="eastAsia" w:ascii="仿宋_GB2312" w:eastAsia="仿宋_GB2312" w:cs="仿宋_GB2312"/>
          <w:color w:val="000000"/>
          <w:sz w:val="32"/>
          <w:szCs w:val="36"/>
          <w:lang w:val="en-US" w:eastAsia="zh-CN"/>
        </w:rPr>
        <w:t>841/2328308</w:t>
      </w:r>
      <w:r>
        <w:rPr>
          <w:rFonts w:hint="eastAsia" w:ascii="仿宋_GB2312" w:eastAsia="仿宋_GB2312" w:cs="仿宋_GB2312"/>
          <w:color w:val="000000"/>
          <w:sz w:val="32"/>
          <w:szCs w:val="36"/>
        </w:rPr>
        <w:t>。</w:t>
      </w:r>
    </w:p>
    <w:p w14:paraId="35A8B2D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641"/>
        <w:jc w:val="both"/>
        <w:textAlignment w:val="auto"/>
        <w:outlineLvl w:val="9"/>
        <w:rPr>
          <w:rFonts w:hint="eastAsia" w:ascii="仿宋_GB2312" w:hAnsi="宋体" w:eastAsia="仿宋_GB2312" w:cs="仿宋_GB2312"/>
          <w:color w:val="000000"/>
          <w:kern w:val="0"/>
          <w:sz w:val="32"/>
          <w:szCs w:val="36"/>
          <w:lang w:val="en-US" w:eastAsia="zh-CN" w:bidi="ar"/>
        </w:rPr>
      </w:pPr>
    </w:p>
    <w:p w14:paraId="71D24505">
      <w:pPr>
        <w:keepNext w:val="0"/>
        <w:keepLines w:val="0"/>
        <w:pageBreakBefore w:val="0"/>
        <w:widowControl w:val="0"/>
        <w:suppressLineNumbers w:val="0"/>
        <w:kinsoku/>
        <w:wordWrap/>
        <w:overflowPunct/>
        <w:topLinePunct w:val="0"/>
        <w:autoSpaceDE/>
        <w:autoSpaceDN/>
        <w:bidi w:val="0"/>
        <w:adjustRightInd/>
        <w:snapToGrid/>
        <w:spacing w:line="540" w:lineRule="exact"/>
        <w:ind w:left="0" w:firstLine="616" w:firstLineChars="2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附件：1.2025年广西壮族自治区工程研究中心（或人工</w:t>
      </w:r>
    </w:p>
    <w:p w14:paraId="3CFCE23B">
      <w:pPr>
        <w:keepNext w:val="0"/>
        <w:keepLines w:val="0"/>
        <w:pageBreakBefore w:val="0"/>
        <w:widowControl w:val="0"/>
        <w:suppressLineNumbers w:val="0"/>
        <w:kinsoku/>
        <w:wordWrap/>
        <w:overflowPunct/>
        <w:topLinePunct w:val="0"/>
        <w:autoSpaceDE/>
        <w:autoSpaceDN/>
        <w:bidi w:val="0"/>
        <w:adjustRightInd/>
        <w:snapToGrid/>
        <w:spacing w:line="540" w:lineRule="exact"/>
        <w:ind w:left="0" w:firstLine="1848" w:firstLineChars="600"/>
        <w:jc w:val="both"/>
        <w:textAlignment w:val="auto"/>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智能场景工程研究中心）申请报告</w:t>
      </w:r>
    </w:p>
    <w:p w14:paraId="3C46C664">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2.2025年广西壮族自治区工程研究中心（或人工</w:t>
      </w:r>
    </w:p>
    <w:p w14:paraId="57112D32">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848" w:firstLineChars="6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智能场景工程研究中心）申报数据证明材料</w:t>
      </w:r>
    </w:p>
    <w:p w14:paraId="12EFEC6E">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3.2025年广西壮族自治区工程研究中心评价报告</w:t>
      </w:r>
    </w:p>
    <w:p w14:paraId="7A9D82B3">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4.2025年广西壮族自治区工程研究中心评价数据</w:t>
      </w:r>
    </w:p>
    <w:p w14:paraId="4599E248">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848" w:firstLineChars="6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证明材料</w:t>
      </w:r>
    </w:p>
    <w:p w14:paraId="1BCAAE2D">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5.各有关</w:t>
      </w:r>
      <w:r>
        <w:rPr>
          <w:rFonts w:hint="eastAsia" w:ascii="仿宋_GB2312" w:hAnsi="宋体" w:eastAsia="仿宋_GB2312" w:cs="仿宋_GB2312"/>
          <w:color w:val="000000"/>
          <w:spacing w:val="-6"/>
          <w:kern w:val="0"/>
          <w:sz w:val="32"/>
          <w:szCs w:val="36"/>
          <w:lang w:val="en-US" w:eastAsia="zh-CN" w:bidi="ar"/>
        </w:rPr>
        <w:t>单位和设区市发展改革委审核报送数据</w:t>
      </w:r>
      <w:r>
        <w:rPr>
          <w:rFonts w:hint="eastAsia" w:ascii="仿宋_GB2312" w:eastAsia="仿宋_GB2312" w:cs="仿宋_GB2312"/>
          <w:color w:val="000000"/>
          <w:spacing w:val="-6"/>
          <w:kern w:val="0"/>
          <w:sz w:val="32"/>
          <w:szCs w:val="36"/>
          <w:lang w:val="en-US" w:eastAsia="zh-CN" w:bidi="ar"/>
        </w:rPr>
        <w:t>表</w:t>
      </w:r>
    </w:p>
    <w:p w14:paraId="0D7E9109">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6.广西壮</w:t>
      </w:r>
      <w:r>
        <w:rPr>
          <w:rFonts w:hint="eastAsia" w:ascii="仿宋_GB2312" w:hAnsi="宋体" w:eastAsia="仿宋_GB2312" w:cs="仿宋_GB2312"/>
          <w:color w:val="000000"/>
          <w:spacing w:val="-6"/>
          <w:kern w:val="0"/>
          <w:sz w:val="32"/>
          <w:szCs w:val="36"/>
          <w:lang w:val="en-US" w:eastAsia="zh-CN" w:bidi="ar"/>
        </w:rPr>
        <w:t>族自治区工程研究中心（或人工智能场景</w:t>
      </w:r>
    </w:p>
    <w:p w14:paraId="7F52A1F7">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848" w:firstLineChars="600"/>
        <w:jc w:val="both"/>
        <w:textAlignment w:val="auto"/>
        <w:outlineLvl w:val="9"/>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工程研究中心）申报与评价系统操作指南</w:t>
      </w:r>
    </w:p>
    <w:p w14:paraId="53EB5986">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7.广西壮族自治区工程研究中心管理办法</w:t>
      </w:r>
    </w:p>
    <w:p w14:paraId="44331574">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8.2025年</w:t>
      </w:r>
      <w:r>
        <w:rPr>
          <w:rFonts w:hint="eastAsia" w:ascii="仿宋_GB2312" w:hAnsi="宋体" w:eastAsia="仿宋_GB2312" w:cs="仿宋_GB2312"/>
          <w:color w:val="000000"/>
          <w:spacing w:val="-6"/>
          <w:kern w:val="0"/>
          <w:sz w:val="32"/>
          <w:szCs w:val="36"/>
          <w:lang w:val="en-US" w:eastAsia="zh-CN" w:bidi="ar"/>
        </w:rPr>
        <w:t>广西壮族自治区工程研究中心拟评价名单</w:t>
      </w:r>
    </w:p>
    <w:p w14:paraId="06A998A1">
      <w:pPr>
        <w:pStyle w:val="13"/>
        <w:keepNext w:val="0"/>
        <w:keepLines w:val="0"/>
        <w:pageBreakBefore w:val="0"/>
        <w:widowControl w:val="0"/>
        <w:suppressLineNumbers w:val="0"/>
        <w:kinsoku/>
        <w:wordWrap/>
        <w:overflowPunct/>
        <w:topLinePunct w:val="0"/>
        <w:autoSpaceDE/>
        <w:autoSpaceDN/>
        <w:bidi w:val="0"/>
        <w:adjustRightInd/>
        <w:snapToGrid/>
        <w:spacing w:line="540" w:lineRule="exact"/>
        <w:ind w:firstLine="1540" w:firstLineChars="500"/>
        <w:jc w:val="both"/>
        <w:textAlignment w:val="auto"/>
        <w:rPr>
          <w:rFonts w:hint="eastAsia" w:ascii="仿宋_GB2312" w:hAnsi="宋体" w:eastAsia="仿宋_GB2312" w:cs="仿宋_GB2312"/>
          <w:color w:val="000000"/>
          <w:kern w:val="0"/>
          <w:sz w:val="32"/>
          <w:szCs w:val="36"/>
          <w:lang w:val="en-US" w:eastAsia="zh-CN" w:bidi="ar"/>
        </w:rPr>
      </w:pPr>
      <w:r>
        <w:rPr>
          <w:rFonts w:hint="eastAsia" w:ascii="仿宋_GB2312" w:hAnsi="宋体" w:eastAsia="仿宋_GB2312" w:cs="仿宋_GB2312"/>
          <w:color w:val="000000"/>
          <w:kern w:val="0"/>
          <w:sz w:val="32"/>
          <w:szCs w:val="36"/>
          <w:lang w:val="en-US" w:eastAsia="zh-CN" w:bidi="ar"/>
        </w:rPr>
        <w:t>9.各有关单位名单</w:t>
      </w:r>
    </w:p>
    <w:p w14:paraId="2670B95B">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仿宋_GB2312" w:hAnsi="仿宋_GB2312" w:eastAsia="仿宋_GB2312" w:cs="仿宋_GB2312"/>
        </w:rPr>
      </w:pPr>
    </w:p>
    <w:p w14:paraId="69765EED">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仿宋_GB2312" w:hAnsi="仿宋_GB2312" w:eastAsia="仿宋_GB2312" w:cs="仿宋_GB2312"/>
        </w:rPr>
      </w:pPr>
    </w:p>
    <w:p w14:paraId="797EB9CB">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仿宋_GB2312" w:hAnsi="仿宋_GB2312" w:eastAsia="仿宋_GB2312" w:cs="仿宋_GB2312"/>
        </w:rPr>
      </w:pPr>
    </w:p>
    <w:p w14:paraId="760039AB">
      <w:pPr>
        <w:pStyle w:val="13"/>
        <w:keepNext w:val="0"/>
        <w:keepLines w:val="0"/>
        <w:pageBreakBefore w:val="0"/>
        <w:widowControl w:val="0"/>
        <w:suppressLineNumbers w:val="0"/>
        <w:kinsoku/>
        <w:wordWrap/>
        <w:overflowPunct/>
        <w:topLinePunct w:val="0"/>
        <w:autoSpaceDE/>
        <w:autoSpaceDN/>
        <w:bidi w:val="0"/>
        <w:adjustRightInd/>
        <w:snapToGrid/>
        <w:spacing w:line="560" w:lineRule="exact"/>
        <w:ind w:firstLine="3696" w:firstLineChars="1200"/>
        <w:jc w:val="both"/>
        <w:textAlignment w:val="auto"/>
        <w:outlineLvl w:val="9"/>
        <w:rPr>
          <w:sz w:val="32"/>
          <w:szCs w:val="32"/>
        </w:rPr>
      </w:pPr>
      <w:r>
        <w:rPr>
          <w:rFonts w:ascii="仿宋_GB2312" w:eastAsia="仿宋_GB2312" w:cs="仿宋_GB2312"/>
          <w:color w:val="000000"/>
          <w:sz w:val="32"/>
          <w:szCs w:val="32"/>
        </w:rPr>
        <w:t>广西壮族自治区发展和改革委员会</w:t>
      </w:r>
    </w:p>
    <w:p w14:paraId="3B2AE716">
      <w:pPr>
        <w:pStyle w:val="13"/>
        <w:keepNext w:val="0"/>
        <w:keepLines w:val="0"/>
        <w:pageBreakBefore w:val="0"/>
        <w:widowControl w:val="0"/>
        <w:suppressLineNumbers w:val="0"/>
        <w:kinsoku/>
        <w:wordWrap/>
        <w:overflowPunct/>
        <w:topLinePunct w:val="0"/>
        <w:autoSpaceDE/>
        <w:autoSpaceDN/>
        <w:bidi w:val="0"/>
        <w:adjustRightInd/>
        <w:snapToGrid/>
        <w:spacing w:line="560" w:lineRule="exact"/>
        <w:ind w:firstLine="4867" w:firstLineChars="1580"/>
        <w:jc w:val="both"/>
        <w:textAlignment w:val="auto"/>
        <w:outlineLvl w:val="9"/>
        <w:rPr>
          <w:sz w:val="32"/>
          <w:szCs w:val="32"/>
        </w:rPr>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28</w:t>
      </w:r>
      <w:r>
        <w:rPr>
          <w:rFonts w:hint="eastAsia" w:ascii="仿宋_GB2312" w:eastAsia="仿宋_GB2312" w:cs="仿宋_GB2312"/>
          <w:color w:val="000000"/>
          <w:sz w:val="32"/>
          <w:szCs w:val="32"/>
        </w:rPr>
        <w:t>日</w:t>
      </w:r>
    </w:p>
    <w:p w14:paraId="39D18ECB">
      <w:pPr>
        <w:pStyle w:val="13"/>
        <w:keepNext w:val="0"/>
        <w:keepLines w:val="0"/>
        <w:pageBreakBefore w:val="0"/>
        <w:widowControl w:val="0"/>
        <w:suppressLineNumbers w:val="0"/>
        <w:kinsoku/>
        <w:wordWrap/>
        <w:overflowPunct/>
        <w:topLinePunct w:val="0"/>
        <w:autoSpaceDE/>
        <w:autoSpaceDN/>
        <w:bidi w:val="0"/>
        <w:adjustRightInd w:val="0"/>
        <w:snapToGrid/>
        <w:spacing w:before="318" w:beforeLines="50" w:line="540" w:lineRule="exact"/>
        <w:ind w:left="0" w:firstLine="641"/>
        <w:jc w:val="both"/>
        <w:textAlignment w:val="auto"/>
        <w:outlineLvl w:val="9"/>
        <w:rPr>
          <w:sz w:val="32"/>
          <w:szCs w:val="32"/>
        </w:rPr>
      </w:pPr>
      <w:r>
        <w:rPr>
          <w:rFonts w:ascii="仿宋_GB2312" w:eastAsia="仿宋_GB2312" w:cs="仿宋_GB2312"/>
          <w:color w:val="000000"/>
          <w:sz w:val="32"/>
          <w:szCs w:val="32"/>
        </w:rPr>
        <w:t>（此件公开发布）</w:t>
      </w:r>
    </w:p>
    <w:p w14:paraId="79D7197B">
      <w:pPr>
        <w:keepNext w:val="0"/>
        <w:keepLines w:val="0"/>
        <w:pageBreakBefore w:val="0"/>
        <w:widowControl w:val="0"/>
        <w:tabs>
          <w:tab w:val="left" w:pos="1540"/>
        </w:tabs>
        <w:kinsoku/>
        <w:wordWrap/>
        <w:overflowPunct/>
        <w:topLinePunct w:val="0"/>
        <w:autoSpaceDE/>
        <w:autoSpaceDN/>
        <w:bidi w:val="0"/>
        <w:adjustRightInd/>
        <w:snapToGrid/>
        <w:spacing w:line="660" w:lineRule="exact"/>
        <w:jc w:val="left"/>
        <w:textAlignment w:val="auto"/>
        <w:outlineLvl w:val="9"/>
        <w:rPr>
          <w:rFonts w:hint="eastAsia" w:ascii="仿宋_GB2312" w:hAnsi="宋体"/>
        </w:rPr>
      </w:pPr>
    </w:p>
    <w:p w14:paraId="1C7C1F06">
      <w:pPr>
        <w:keepNext w:val="0"/>
        <w:keepLines w:val="0"/>
        <w:pageBreakBefore w:val="0"/>
        <w:widowControl w:val="0"/>
        <w:tabs>
          <w:tab w:val="left" w:pos="1540"/>
        </w:tabs>
        <w:kinsoku/>
        <w:wordWrap/>
        <w:overflowPunct/>
        <w:topLinePunct w:val="0"/>
        <w:autoSpaceDE/>
        <w:autoSpaceDN/>
        <w:bidi w:val="0"/>
        <w:adjustRightInd/>
        <w:snapToGrid/>
        <w:spacing w:line="660" w:lineRule="exact"/>
        <w:jc w:val="left"/>
        <w:textAlignment w:val="auto"/>
        <w:outlineLvl w:val="9"/>
        <w:rPr>
          <w:rFonts w:hint="eastAsia" w:ascii="仿宋_GB2312" w:hAnsi="宋体" w:eastAsia="仿宋_GB2312"/>
          <w:lang w:eastAsia="zh-CN"/>
        </w:rPr>
      </w:pPr>
    </w:p>
    <w:p w14:paraId="6C703DE7">
      <w:pPr>
        <w:spacing w:line="520" w:lineRule="exact"/>
        <w:ind w:firstLine="268" w:firstLineChars="100"/>
        <w:jc w:val="left"/>
        <w:rPr>
          <w:rFonts w:hint="eastAsia" w:ascii="仿宋_GB2312"/>
          <w:sz w:val="28"/>
        </w:rPr>
      </w:pPr>
      <w:r>
        <w:rPr>
          <w:rFonts w:hint="eastAsia" w:ascii="仿宋_GB2312" w:hAnsi="宋体" w:eastAsia="仿宋_GB2312"/>
          <w:sz w:val="28"/>
          <w:szCs w:val="28"/>
          <w:lang w:eastAsia="zh-CN"/>
        </w:rPr>
        <w:drawing>
          <wp:anchor distT="0" distB="0" distL="114300" distR="114300" simplePos="0" relativeHeight="251662336" behindDoc="0" locked="0" layoutInCell="1" allowOverlap="1">
            <wp:simplePos x="0" y="0"/>
            <wp:positionH relativeFrom="column">
              <wp:posOffset>3333750</wp:posOffset>
            </wp:positionH>
            <wp:positionV relativeFrom="paragraph">
              <wp:posOffset>425450</wp:posOffset>
            </wp:positionV>
            <wp:extent cx="2114550" cy="514350"/>
            <wp:effectExtent l="0" t="0" r="0" b="0"/>
            <wp:wrapSquare wrapText="bothSides"/>
            <wp:docPr id="4" name="图片 22" descr="54199012500045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541990125000457096"/>
                    <pic:cNvPicPr>
                      <a:picLocks noChangeAspect="1"/>
                    </pic:cNvPicPr>
                  </pic:nvPicPr>
                  <pic:blipFill>
                    <a:blip r:embed="rId7"/>
                    <a:stretch>
                      <a:fillRect/>
                    </a:stretch>
                  </pic:blipFill>
                  <pic:spPr>
                    <a:xfrm>
                      <a:off x="0" y="0"/>
                      <a:ext cx="2114550" cy="514350"/>
                    </a:xfrm>
                    <a:prstGeom prst="rect">
                      <a:avLst/>
                    </a:prstGeom>
                    <a:noFill/>
                    <a:ln>
                      <a:noFill/>
                    </a:ln>
                  </pic:spPr>
                </pic:pic>
              </a:graphicData>
            </a:graphic>
          </wp:anchor>
        </w:drawing>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19050</wp:posOffset>
                </wp:positionV>
                <wp:extent cx="5476240" cy="0"/>
                <wp:effectExtent l="0" t="4445" r="0" b="5080"/>
                <wp:wrapNone/>
                <wp:docPr id="2" name="直线 20"/>
                <wp:cNvGraphicFramePr/>
                <a:graphic xmlns:a="http://schemas.openxmlformats.org/drawingml/2006/main">
                  <a:graphicData uri="http://schemas.microsoft.com/office/word/2010/wordprocessingShape">
                    <wps:wsp>
                      <wps:cNvCnPr/>
                      <wps:spPr>
                        <a:xfrm>
                          <a:off x="0" y="0"/>
                          <a:ext cx="54762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0pt;margin-top:1.5pt;height:0pt;width:431.2pt;z-index:251660288;mso-width-relative:page;mso-height-relative:page;" filled="f" stroked="t" coordsize="21600,21600" o:gfxdata="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Z31XNMAAAAE&#10;AQAADwAAAAAAAAABACAAAAAiAAAAZHJzL2Rvd25yZXYueG1sUEsBAhQAFAAAAAgAh07iQENA0hXo&#10;AQAA3A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352425</wp:posOffset>
                </wp:positionV>
                <wp:extent cx="5476240" cy="0"/>
                <wp:effectExtent l="0" t="4445" r="0" b="5080"/>
                <wp:wrapNone/>
                <wp:docPr id="3" name="直线 21"/>
                <wp:cNvGraphicFramePr/>
                <a:graphic xmlns:a="http://schemas.openxmlformats.org/drawingml/2006/main">
                  <a:graphicData uri="http://schemas.microsoft.com/office/word/2010/wordprocessingShape">
                    <wps:wsp>
                      <wps:cNvCnPr/>
                      <wps:spPr>
                        <a:xfrm>
                          <a:off x="0" y="0"/>
                          <a:ext cx="54762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0pt;margin-top:27.75pt;height:0pt;width:431.2pt;z-index:251661312;mso-width-relative:page;mso-height-relative:page;" filled="f" stroked="t" coordsize="21600,21600" o:gfxdata="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bobo1AAA&#10;AAYBAAAPAAAAAAAAAAEAIAAAACIAAABkcnMvZG93bnJldi54bWxQSwECFAAUAAAACACHTuJAOqrw&#10;xukBAADc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sz w:val="28"/>
          <w:szCs w:val="28"/>
        </w:rPr>
        <w:t>广</w:t>
      </w:r>
      <w:r>
        <w:rPr>
          <w:rFonts w:hint="eastAsia" w:ascii="仿宋_GB2312"/>
          <w:sz w:val="28"/>
        </w:rPr>
        <w:t xml:space="preserve">西壮族自治区发展和改革委员会办公室  </w:t>
      </w:r>
      <w:r>
        <w:rPr>
          <w:rFonts w:hint="eastAsia" w:ascii="仿宋_GB2312"/>
          <w:sz w:val="28"/>
          <w:lang w:val="en-US" w:eastAsia="zh-CN"/>
        </w:rPr>
        <w:t xml:space="preserve"> </w:t>
      </w:r>
      <w:r>
        <w:rPr>
          <w:rFonts w:hint="eastAsia" w:ascii="仿宋_GB2312"/>
          <w:sz w:val="28"/>
        </w:rPr>
        <w:t xml:space="preserve">  20</w:t>
      </w:r>
      <w:r>
        <w:rPr>
          <w:rFonts w:hint="eastAsia" w:ascii="仿宋_GB2312"/>
          <w:sz w:val="28"/>
          <w:lang w:val="en-US" w:eastAsia="zh-CN"/>
        </w:rPr>
        <w:t>25</w:t>
      </w:r>
      <w:r>
        <w:rPr>
          <w:rFonts w:hint="eastAsia" w:ascii="仿宋_GB2312"/>
          <w:sz w:val="28"/>
        </w:rPr>
        <w:t>年</w:t>
      </w:r>
      <w:r>
        <w:rPr>
          <w:rFonts w:hint="eastAsia" w:ascii="仿宋_GB2312"/>
          <w:sz w:val="28"/>
          <w:lang w:val="en-US" w:eastAsia="zh-CN"/>
        </w:rPr>
        <w:t>7</w:t>
      </w:r>
      <w:r>
        <w:rPr>
          <w:rFonts w:hint="eastAsia" w:ascii="仿宋_GB2312"/>
          <w:sz w:val="28"/>
        </w:rPr>
        <w:t>月</w:t>
      </w:r>
      <w:r>
        <w:rPr>
          <w:rFonts w:hint="eastAsia" w:ascii="仿宋_GB2312"/>
          <w:sz w:val="28"/>
          <w:lang w:val="en-US" w:eastAsia="zh-CN"/>
        </w:rPr>
        <w:t>28</w:t>
      </w:r>
      <w:r>
        <w:rPr>
          <w:rFonts w:hint="eastAsia" w:ascii="仿宋_GB2312"/>
          <w:sz w:val="28"/>
        </w:rPr>
        <w:t>日印发</w:t>
      </w:r>
    </w:p>
    <w:sectPr>
      <w:headerReference r:id="rId3" w:type="default"/>
      <w:footerReference r:id="rId4" w:type="default"/>
      <w:footerReference r:id="rId5" w:type="even"/>
      <w:pgSz w:w="11906" w:h="16838"/>
      <w:pgMar w:top="1418" w:right="1588" w:bottom="1701" w:left="1701" w:header="851" w:footer="964" w:gutter="0"/>
      <w:pgNumType w:fmt="numberInDash"/>
      <w:cols w:space="720" w:num="1"/>
      <w:titlePg/>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00"/>
    <w:family w:val="modern"/>
    <w:pitch w:val="default"/>
    <w:sig w:usb0="00000000" w:usb1="00000000" w:usb2="0000005E"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2CE1C">
    <w:pPr>
      <w:pStyle w:val="10"/>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7098DE88">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9A60">
    <w:pPr>
      <w:pStyle w:val="10"/>
      <w:framePr w:w="1261" w:wrap="around" w:vAnchor="text" w:hAnchor="page" w:x="1696" w:y="-201"/>
      <w:ind w:firstLine="280" w:firstLineChars="100"/>
      <w:rPr>
        <w:rStyle w:val="18"/>
        <w:rFonts w:ascii="宋体" w:hAnsi="宋体" w:eastAsia="宋体"/>
        <w:sz w:val="28"/>
        <w:szCs w:val="28"/>
      </w:rPr>
    </w:pP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- 2 -</w:t>
    </w:r>
    <w:r>
      <w:rPr>
        <w:rFonts w:ascii="宋体" w:hAnsi="宋体" w:eastAsia="宋体"/>
        <w:sz w:val="28"/>
        <w:szCs w:val="28"/>
      </w:rPr>
      <w:fldChar w:fldCharType="end"/>
    </w:r>
  </w:p>
  <w:p w14:paraId="76687C7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00A3">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5"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19DF95FD">
                          <w:r>
                            <w:t>ImpTraceLabel=PD94bWwgdmVyc2lvbj0nMS4wJyBlbmNvZGluZz0nVVRGLTgnPz48dHJhY2U+PGNvbnRlbnQ+PC9jb250ZW50PjxhY2NvdW50PndvbjJqNTV6NWFtNW1lenpteGx3ZHk8L2FjY291bnQ+PG1hY2hpbmVDb2RlPlc5QU1WOUdRCjwvbWFjaGluZUNvZGU+PHRpbWU+MjAyNS0wNy0zMCAxNTowMDo0NTwvdGltZT48c3lzdGVtPk1CPHN5c3RlbT48L3RyYWNlPg==</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8vGRxpkBAAA9AwAADgAAAAAAAAABACAAAAAcAQAAZHJz&#10;L2Uyb0RvYy54bWxQSwUGAAAAAAYABgBZAQAAJwUAAAAA&#10;">
              <v:fill on="f" focussize="0,0"/>
              <v:stroke on="f"/>
              <v:imagedata o:title=""/>
              <o:lock v:ext="edit" aspectratio="f"/>
              <v:textbox>
                <w:txbxContent>
                  <w:p w14:paraId="19DF95FD">
                    <w:r>
                      <w:t>ImpTraceLabel=PD94bWwgdmVyc2lvbj0nMS4wJyBlbmNvZGluZz0nVVRGLTgnPz48dHJhY2U+PGNvbnRlbnQ+PC9jb250ZW50PjxhY2NvdW50PndvbjJqNTV6NWFtNW1lenpteGx3ZHk8L2FjY291bnQ+PG1hY2hpbmVDb2RlPlc5QU1WOUdRCjwvbWFjaGluZUNvZGU+PHRpbWU+MjAyNS0wNy0zMCAxNTowMDo0NTwvdGltZT48c3lzdGVtPk1CPHN5c3RlbT48L3RyYWNlPg==</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4"/>
  <w:drawingGridVerticalSpacing w:val="318"/>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7A"/>
    <w:rsid w:val="1D817C8C"/>
    <w:rsid w:val="381C4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Cambria" w:hAnsi="Cambria" w:eastAsia="宋体"/>
      <w:b/>
      <w:bCs/>
    </w:rPr>
  </w:style>
  <w:style w:type="character" w:default="1" w:styleId="17">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Body Text"/>
    <w:basedOn w:val="1"/>
    <w:link w:val="28"/>
    <w:qFormat/>
    <w:uiPriority w:val="0"/>
    <w:pPr>
      <w:spacing w:line="480" w:lineRule="atLeast"/>
      <w:jc w:val="center"/>
    </w:pPr>
    <w:rPr>
      <w:rFonts w:ascii="华文行楷" w:eastAsia="华文行楷"/>
      <w:b/>
      <w:sz w:val="48"/>
      <w:szCs w:val="24"/>
    </w:rPr>
  </w:style>
  <w:style w:type="paragraph" w:styleId="4">
    <w:name w:val="Body Text Indent"/>
    <w:basedOn w:val="1"/>
    <w:link w:val="20"/>
    <w:qFormat/>
    <w:uiPriority w:val="0"/>
    <w:pPr>
      <w:spacing w:after="120"/>
      <w:ind w:left="420" w:leftChars="200"/>
    </w:pPr>
  </w:style>
  <w:style w:type="paragraph" w:styleId="5">
    <w:name w:val="Plain Text"/>
    <w:basedOn w:val="1"/>
    <w:link w:val="25"/>
    <w:qFormat/>
    <w:uiPriority w:val="0"/>
    <w:rPr>
      <w:rFonts w:ascii="宋体" w:hAnsi="Courier New" w:eastAsia="宋体" w:cs="Courier New"/>
      <w:sz w:val="21"/>
      <w:szCs w:val="21"/>
    </w:rPr>
  </w:style>
  <w:style w:type="paragraph" w:styleId="6">
    <w:name w:val="Date"/>
    <w:basedOn w:val="1"/>
    <w:next w:val="1"/>
    <w:link w:val="22"/>
    <w:qFormat/>
    <w:uiPriority w:val="0"/>
    <w:pPr>
      <w:ind w:left="100" w:leftChars="2500"/>
    </w:pPr>
  </w:style>
  <w:style w:type="paragraph" w:styleId="7">
    <w:name w:val="Body Text Indent 2"/>
    <w:next w:val="8"/>
    <w:link w:val="24"/>
    <w:qFormat/>
    <w:uiPriority w:val="0"/>
    <w:pPr>
      <w:widowControl w:val="0"/>
      <w:spacing w:after="120" w:line="480" w:lineRule="auto"/>
      <w:ind w:left="420" w:leftChars="200"/>
      <w:jc w:val="both"/>
    </w:pPr>
    <w:rPr>
      <w:rFonts w:ascii="Calibri" w:hAnsi="Calibri" w:eastAsia="仿宋_GB2312" w:cs="Times New Roman"/>
      <w:kern w:val="2"/>
      <w:sz w:val="32"/>
      <w:szCs w:val="32"/>
      <w:lang w:val="en-US" w:eastAsia="zh-CN" w:bidi="ar-SA"/>
    </w:rPr>
  </w:style>
  <w:style w:type="paragraph" w:customStyle="1" w:styleId="8">
    <w:name w:val=" Char Char Char Char"/>
    <w:basedOn w:val="1"/>
    <w:next w:val="6"/>
    <w:qFormat/>
    <w:uiPriority w:val="0"/>
    <w:pPr>
      <w:spacing w:line="360" w:lineRule="auto"/>
      <w:ind w:left="178" w:leftChars="85" w:firstLine="658" w:firstLineChars="235"/>
    </w:pPr>
    <w:rPr>
      <w:rFonts w:eastAsia="宋体"/>
      <w:sz w:val="24"/>
      <w:szCs w:val="24"/>
    </w:rPr>
  </w:style>
  <w:style w:type="paragraph" w:styleId="9">
    <w:name w:val="Balloon Text"/>
    <w:basedOn w:val="1"/>
    <w:link w:val="21"/>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6"/>
    <w:qFormat/>
    <w:uiPriority w:val="0"/>
    <w:pPr>
      <w:spacing w:after="120"/>
      <w:ind w:left="420" w:leftChars="200"/>
    </w:pPr>
    <w:rPr>
      <w:sz w:val="16"/>
      <w:szCs w:val="16"/>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19"/>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customStyle="1" w:styleId="20">
    <w:name w:val="正文文本缩进 Char"/>
    <w:basedOn w:val="17"/>
    <w:link w:val="4"/>
    <w:qFormat/>
    <w:uiPriority w:val="0"/>
    <w:rPr>
      <w:rFonts w:eastAsia="仿宋_GB2312"/>
      <w:kern w:val="2"/>
      <w:sz w:val="32"/>
      <w:szCs w:val="32"/>
    </w:rPr>
  </w:style>
  <w:style w:type="character" w:customStyle="1" w:styleId="21">
    <w:name w:val="批注框文本 Char"/>
    <w:basedOn w:val="17"/>
    <w:link w:val="9"/>
    <w:qFormat/>
    <w:uiPriority w:val="0"/>
    <w:rPr>
      <w:rFonts w:eastAsia="仿宋_GB2312"/>
      <w:kern w:val="2"/>
      <w:sz w:val="18"/>
      <w:szCs w:val="18"/>
    </w:rPr>
  </w:style>
  <w:style w:type="character" w:customStyle="1" w:styleId="22">
    <w:name w:val="日期 Char"/>
    <w:basedOn w:val="17"/>
    <w:link w:val="6"/>
    <w:qFormat/>
    <w:uiPriority w:val="0"/>
    <w:rPr>
      <w:rFonts w:eastAsia="仿宋_GB2312"/>
      <w:kern w:val="2"/>
      <w:sz w:val="32"/>
      <w:szCs w:val="32"/>
    </w:rPr>
  </w:style>
  <w:style w:type="character" w:customStyle="1" w:styleId="23">
    <w:name w:val="标题 2 Char"/>
    <w:basedOn w:val="17"/>
    <w:link w:val="2"/>
    <w:qFormat/>
    <w:uiPriority w:val="9"/>
    <w:rPr>
      <w:rFonts w:ascii="Cambria" w:hAnsi="Cambria"/>
      <w:b/>
      <w:bCs/>
      <w:kern w:val="2"/>
      <w:sz w:val="32"/>
      <w:szCs w:val="32"/>
    </w:rPr>
  </w:style>
  <w:style w:type="character" w:customStyle="1" w:styleId="24">
    <w:name w:val="正文文本缩进 2 Char"/>
    <w:basedOn w:val="17"/>
    <w:link w:val="7"/>
    <w:qFormat/>
    <w:uiPriority w:val="0"/>
    <w:rPr>
      <w:rFonts w:eastAsia="仿宋_GB2312"/>
      <w:kern w:val="2"/>
      <w:sz w:val="32"/>
      <w:szCs w:val="32"/>
    </w:rPr>
  </w:style>
  <w:style w:type="character" w:customStyle="1" w:styleId="25">
    <w:name w:val="纯文本 Char"/>
    <w:basedOn w:val="17"/>
    <w:link w:val="5"/>
    <w:qFormat/>
    <w:uiPriority w:val="0"/>
    <w:rPr>
      <w:rFonts w:ascii="宋体" w:hAnsi="Courier New" w:cs="Courier New"/>
      <w:kern w:val="2"/>
      <w:sz w:val="21"/>
      <w:szCs w:val="21"/>
    </w:rPr>
  </w:style>
  <w:style w:type="character" w:customStyle="1" w:styleId="26">
    <w:name w:val="正文文本缩进 3 Char"/>
    <w:basedOn w:val="17"/>
    <w:link w:val="12"/>
    <w:qFormat/>
    <w:uiPriority w:val="0"/>
    <w:rPr>
      <w:rFonts w:eastAsia="仿宋_GB2312"/>
      <w:kern w:val="2"/>
      <w:sz w:val="16"/>
      <w:szCs w:val="16"/>
    </w:rPr>
  </w:style>
  <w:style w:type="character" w:customStyle="1" w:styleId="27">
    <w:name w:val="页脚 Char"/>
    <w:basedOn w:val="17"/>
    <w:link w:val="10"/>
    <w:qFormat/>
    <w:uiPriority w:val="99"/>
    <w:rPr>
      <w:rFonts w:eastAsia="仿宋_GB2312"/>
      <w:kern w:val="2"/>
      <w:sz w:val="18"/>
      <w:szCs w:val="18"/>
    </w:rPr>
  </w:style>
  <w:style w:type="character" w:customStyle="1" w:styleId="28">
    <w:name w:val="正文文本 Char"/>
    <w:basedOn w:val="17"/>
    <w:link w:val="3"/>
    <w:qFormat/>
    <w:uiPriority w:val="0"/>
    <w:rPr>
      <w:rFonts w:ascii="华文行楷" w:eastAsia="华文行楷"/>
      <w:b/>
      <w:kern w:val="2"/>
      <w:sz w:val="48"/>
      <w:szCs w:val="24"/>
    </w:rPr>
  </w:style>
  <w:style w:type="paragraph" w:customStyle="1" w:styleId="29">
    <w:name w:val="Char Char1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0">
    <w:name w:val=" Char Char1 Char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31">
    <w:name w:val="Char"/>
    <w:basedOn w:val="1"/>
    <w:qFormat/>
    <w:uiPriority w:val="0"/>
    <w:rPr>
      <w:rFonts w:eastAsia="宋体"/>
      <w:sz w:val="21"/>
      <w:szCs w:val="24"/>
    </w:rPr>
  </w:style>
  <w:style w:type="paragraph" w:customStyle="1" w:styleId="32">
    <w:name w:val="默认段落字体 Para Char Char Char Char"/>
    <w:basedOn w:val="1"/>
    <w:qFormat/>
    <w:uiPriority w:val="0"/>
    <w:pPr>
      <w:snapToGrid w:val="0"/>
      <w:spacing w:afterLines="50" w:line="360" w:lineRule="auto"/>
      <w:ind w:firstLine="480" w:firstLineChars="200"/>
    </w:pPr>
    <w:rPr>
      <w:rFonts w:ascii="Arial" w:hAnsi="Arial" w:eastAsia="宋体"/>
      <w:sz w:val="24"/>
      <w:szCs w:val="21"/>
    </w:rPr>
  </w:style>
  <w:style w:type="paragraph" w:customStyle="1" w:styleId="33">
    <w:name w:val="默认段落字体 Para Char Char Char Char Char Char Char Char Char1 Char Char Char Char Char Char Char"/>
    <w:basedOn w:val="1"/>
    <w:qFormat/>
    <w:uiPriority w:val="0"/>
    <w:rPr>
      <w:rFonts w:eastAsia="宋体"/>
      <w:b/>
      <w:bCs/>
      <w:sz w:val="36"/>
    </w:rPr>
  </w:style>
  <w:style w:type="paragraph" w:customStyle="1" w:styleId="34">
    <w:name w:val="p16"/>
    <w:basedOn w:val="1"/>
    <w:qFormat/>
    <w:uiPriority w:val="0"/>
    <w:pPr>
      <w:widowControl/>
      <w:spacing w:before="100" w:after="100"/>
      <w:jc w:val="left"/>
    </w:pPr>
    <w:rPr>
      <w:rFonts w:ascii="宋体" w:hAnsi="宋体" w:eastAsia="宋体" w:cs="宋体"/>
      <w:kern w:val="0"/>
      <w:sz w:val="24"/>
      <w:szCs w:val="24"/>
    </w:rPr>
  </w:style>
  <w:style w:type="paragraph" w:customStyle="1" w:styleId="35">
    <w:name w:val=" Char2 Char Char Char1 Char Char Char Char Char Char Char Char Char1 Char Char Char Char Char Char Char Char Char Char Char Char Char Char Char Char Char Char Char Char Char Char Char Char Char Char Char"/>
    <w:basedOn w:val="1"/>
    <w:qFormat/>
    <w:uiPriority w:val="0"/>
    <w:rPr>
      <w:rFonts w:eastAsia="宋体"/>
      <w:sz w:val="21"/>
      <w:szCs w:val="24"/>
    </w:rPr>
  </w:style>
  <w:style w:type="paragraph" w:customStyle="1" w:styleId="36">
    <w:name w:val=" Char Char1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7">
    <w:name w:val="p0"/>
    <w:basedOn w:val="1"/>
    <w:qFormat/>
    <w:uiPriority w:val="0"/>
    <w:pPr>
      <w:widowControl/>
    </w:pPr>
    <w:rPr>
      <w:rFonts w:eastAsia="宋体"/>
      <w:kern w:val="0"/>
    </w:rPr>
  </w:style>
  <w:style w:type="paragraph" w:customStyle="1" w:styleId="38">
    <w:name w:val="Char Char Char Char Char Char Char"/>
    <w:basedOn w:val="1"/>
    <w:qFormat/>
    <w:uiPriority w:val="0"/>
    <w:pPr>
      <w:tabs>
        <w:tab w:val="left" w:pos="425"/>
      </w:tabs>
      <w:ind w:left="425" w:hanging="425"/>
    </w:pPr>
    <w:rPr>
      <w:rFonts w:ascii="宋体" w:hAnsi="宋体" w:eastAsia="宋体"/>
      <w:color w:val="000000"/>
      <w:sz w:val="24"/>
      <w:szCs w:val="24"/>
    </w:rPr>
  </w:style>
  <w:style w:type="paragraph" w:customStyle="1" w:styleId="39">
    <w:name w:val=" Char"/>
    <w:basedOn w:val="1"/>
    <w:qFormat/>
    <w:uiPriority w:val="0"/>
    <w:pPr>
      <w:spacing w:line="360" w:lineRule="auto"/>
      <w:ind w:firstLine="200" w:firstLineChars="200"/>
    </w:pPr>
    <w:rPr>
      <w:rFonts w:ascii="宋体" w:hAnsi="宋体" w:eastAsia="宋体" w:cs="宋体"/>
      <w:sz w:val="24"/>
      <w:szCs w:val="24"/>
    </w:rPr>
  </w:style>
  <w:style w:type="paragraph" w:customStyle="1" w:styleId="40">
    <w:name w:val="四级标题1.1.1.1"/>
    <w:basedOn w:val="1"/>
    <w:next w:val="1"/>
    <w:qFormat/>
    <w:uiPriority w:val="0"/>
    <w:pPr>
      <w:keepNext/>
      <w:keepLines/>
      <w:widowControl/>
      <w:adjustRightInd w:val="0"/>
      <w:spacing w:before="40" w:after="40" w:line="360" w:lineRule="auto"/>
      <w:ind w:firstLine="200" w:firstLineChars="200"/>
      <w:outlineLvl w:val="3"/>
    </w:pPr>
    <w:rPr>
      <w:rFonts w:cs="宋体"/>
      <w:b/>
      <w:kern w:val="0"/>
      <w:sz w:val="24"/>
      <w:szCs w:val="28"/>
    </w:rPr>
  </w:style>
  <w:style w:type="paragraph" w:customStyle="1" w:styleId="41">
    <w:name w:val="Char1 Char Char Char Char Char Char"/>
    <w:basedOn w:val="1"/>
    <w:qFormat/>
    <w:uiPriority w:val="0"/>
    <w:rPr>
      <w:rFonts w:eastAsia="宋体"/>
      <w:sz w:val="21"/>
      <w:szCs w:val="20"/>
    </w:rPr>
  </w:style>
  <w:style w:type="paragraph" w:customStyle="1" w:styleId="42">
    <w:name w:val="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pplication%20Data\Microsoft\Templates\&#19979;&#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gxjmw</Company>
  <Pages>8</Pages>
  <Words>289</Words>
  <Characters>303</Characters>
  <Lines>1</Lines>
  <Paragraphs>1</Paragraphs>
  <TotalTime>19</TotalTime>
  <ScaleCrop>false</ScaleCrop>
  <LinksUpToDate>false</LinksUpToDate>
  <CharactersWithSpaces>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2016-03-22T17:37:00Z</dcterms:created>
  <dc:creator>OA系统管理员</dc:creator>
  <cp:lastModifiedBy>lenovo</cp:lastModifiedBy>
  <cp:lastPrinted>2013-04-11T18:02:00Z</cp:lastPrinted>
  <dcterms:modified xsi:type="dcterms:W3CDTF">2025-08-01T11:17:18Z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63363D5CACEB4F8C9E30AD7654402CB2_13</vt:lpwstr>
  </property>
  <property fmtid="{D5CDD505-2E9C-101B-9397-08002B2CF9AE}" pid="4" name="KSOTemplateDocerSaveRecord">
    <vt:lpwstr>eyJoZGlkIjoiM2YwZTU0OGUwOGY0NGRlN2YwMjNjYWExMjczOTkyYzMifQ==</vt:lpwstr>
  </property>
</Properties>
</file>