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黑体" w:hAnsi="黑体" w:eastAsia="黑体"/>
          <w:sz w:val="32"/>
          <w:lang w:val="en-US" w:eastAsia="zh-CN"/>
        </w:rPr>
      </w:pPr>
      <w:r>
        <w:rPr>
          <w:rFonts w:hint="eastAsia" w:ascii="黑体" w:hAnsi="黑体" w:eastAsia="黑体"/>
          <w:sz w:val="32"/>
        </w:rPr>
        <w:t>附件</w:t>
      </w:r>
      <w:r>
        <w:rPr>
          <w:rFonts w:hint="eastAsia" w:ascii="黑体" w:hAnsi="黑体" w:eastAsia="黑体"/>
          <w:sz w:val="32"/>
          <w:lang w:val="en-US" w:eastAsia="zh-CN"/>
        </w:rPr>
        <w:t>6</w:t>
      </w:r>
    </w:p>
    <w:p>
      <w:pPr>
        <w:spacing w:line="6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spacing w:line="6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广西壮族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自治区工程研究中心</w:t>
      </w:r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（或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人工智能场景工程研究中心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）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申报</w:t>
      </w:r>
    </w:p>
    <w:p>
      <w:pPr>
        <w:spacing w:line="6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与评价系统</w:t>
      </w:r>
    </w:p>
    <w:p>
      <w:pPr>
        <w:spacing w:line="600" w:lineRule="exact"/>
        <w:jc w:val="center"/>
        <w:rPr>
          <w:rFonts w:ascii="华文中宋" w:hAnsi="华文中宋" w:eastAsia="华文中宋"/>
          <w:b/>
          <w:sz w:val="52"/>
          <w:szCs w:val="52"/>
        </w:rPr>
      </w:pPr>
    </w:p>
    <w:p>
      <w:pPr>
        <w:spacing w:line="600" w:lineRule="exact"/>
        <w:rPr>
          <w:rFonts w:ascii="华文中宋" w:hAnsi="华文中宋" w:eastAsia="华文中宋"/>
          <w:bCs/>
          <w:sz w:val="52"/>
          <w:szCs w:val="52"/>
        </w:rPr>
      </w:pPr>
    </w:p>
    <w:p>
      <w:pPr>
        <w:spacing w:line="600" w:lineRule="exact"/>
        <w:jc w:val="center"/>
        <w:rPr>
          <w:rFonts w:ascii="华文中宋" w:hAnsi="华文中宋" w:eastAsia="华文中宋"/>
          <w:bCs/>
          <w:sz w:val="52"/>
          <w:szCs w:val="52"/>
        </w:rPr>
      </w:pPr>
    </w:p>
    <w:p>
      <w:pPr>
        <w:spacing w:line="6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操</w:t>
      </w:r>
    </w:p>
    <w:p>
      <w:pPr>
        <w:spacing w:line="6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作</w:t>
      </w:r>
    </w:p>
    <w:p>
      <w:pPr>
        <w:spacing w:line="6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指</w:t>
      </w:r>
    </w:p>
    <w:p>
      <w:pPr>
        <w:spacing w:line="6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南</w:t>
      </w:r>
    </w:p>
    <w:p>
      <w:pPr>
        <w:widowControl/>
        <w:spacing w:line="600" w:lineRule="exact"/>
        <w:jc w:val="left"/>
        <w:rPr>
          <w:rFonts w:hint="eastAsia" w:ascii="PingFangSC-Regular" w:hAnsi="PingFangSC-Regular" w:eastAsia="宋体" w:cs="宋体"/>
          <w:b/>
          <w:color w:val="3E3E3E"/>
          <w:kern w:val="0"/>
          <w:sz w:val="27"/>
          <w:szCs w:val="27"/>
        </w:rPr>
      </w:pPr>
    </w:p>
    <w:p>
      <w:pPr>
        <w:widowControl/>
        <w:spacing w:line="600" w:lineRule="exact"/>
        <w:jc w:val="left"/>
        <w:rPr>
          <w:rFonts w:hint="eastAsia" w:ascii="PingFangSC-Regular" w:hAnsi="PingFangSC-Regular" w:eastAsia="宋体" w:cs="宋体"/>
          <w:b/>
          <w:color w:val="3E3E3E"/>
          <w:kern w:val="0"/>
          <w:sz w:val="27"/>
          <w:szCs w:val="27"/>
        </w:rPr>
      </w:pPr>
    </w:p>
    <w:p>
      <w:pPr>
        <w:widowControl/>
        <w:spacing w:line="600" w:lineRule="exact"/>
        <w:jc w:val="left"/>
        <w:rPr>
          <w:rFonts w:hint="eastAsia" w:ascii="PingFangSC-Regular" w:hAnsi="PingFangSC-Regular" w:eastAsia="宋体" w:cs="宋体"/>
          <w:b/>
          <w:color w:val="3E3E3E"/>
          <w:kern w:val="0"/>
          <w:sz w:val="27"/>
          <w:szCs w:val="27"/>
        </w:rPr>
      </w:pPr>
    </w:p>
    <w:p>
      <w:pPr>
        <w:widowControl/>
        <w:spacing w:line="600" w:lineRule="exact"/>
        <w:jc w:val="left"/>
        <w:rPr>
          <w:rFonts w:hint="eastAsia" w:ascii="PingFangSC-Regular" w:hAnsi="PingFangSC-Regular" w:eastAsia="宋体" w:cs="宋体"/>
          <w:b/>
          <w:color w:val="3E3E3E"/>
          <w:kern w:val="0"/>
          <w:sz w:val="27"/>
          <w:szCs w:val="27"/>
        </w:rPr>
      </w:pPr>
    </w:p>
    <w:p>
      <w:pPr>
        <w:widowControl/>
        <w:spacing w:line="600" w:lineRule="exact"/>
        <w:jc w:val="left"/>
        <w:rPr>
          <w:rFonts w:hint="eastAsia" w:ascii="PingFangSC-Regular" w:hAnsi="PingFangSC-Regular" w:eastAsia="宋体" w:cs="宋体"/>
          <w:b/>
          <w:color w:val="3E3E3E"/>
          <w:kern w:val="0"/>
          <w:sz w:val="27"/>
          <w:szCs w:val="27"/>
        </w:rPr>
      </w:pPr>
    </w:p>
    <w:p>
      <w:pPr>
        <w:widowControl/>
        <w:spacing w:line="600" w:lineRule="exact"/>
        <w:jc w:val="left"/>
        <w:rPr>
          <w:rFonts w:hint="eastAsia" w:ascii="PingFangSC-Regular" w:hAnsi="PingFangSC-Regular" w:eastAsia="宋体" w:cs="宋体"/>
          <w:b/>
          <w:color w:val="3E3E3E"/>
          <w:kern w:val="0"/>
          <w:sz w:val="27"/>
          <w:szCs w:val="27"/>
        </w:rPr>
      </w:pPr>
    </w:p>
    <w:p>
      <w:pPr>
        <w:widowControl/>
        <w:spacing w:line="600" w:lineRule="exact"/>
        <w:jc w:val="left"/>
        <w:rPr>
          <w:rFonts w:hint="eastAsia" w:ascii="PingFangSC-Regular" w:hAnsi="PingFangSC-Regular" w:eastAsia="宋体" w:cs="宋体"/>
          <w:b/>
          <w:color w:val="3E3E3E"/>
          <w:kern w:val="0"/>
          <w:sz w:val="27"/>
          <w:szCs w:val="27"/>
        </w:rPr>
      </w:pPr>
    </w:p>
    <w:p>
      <w:pPr>
        <w:spacing w:line="600" w:lineRule="exact"/>
        <w:jc w:val="center"/>
        <w:rPr>
          <w:rFonts w:ascii="方正小标宋_GBK" w:hAnsi="方正小标宋_GBK" w:eastAsia="方正小标宋_GBK" w:cs="方正小标宋_GBK"/>
          <w:sz w:val="24"/>
          <w:szCs w:val="4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sz w:val="24"/>
          <w:szCs w:val="44"/>
        </w:rPr>
        <w:t>2</w:t>
      </w:r>
      <w:r>
        <w:rPr>
          <w:rFonts w:ascii="方正小标宋_GBK" w:hAnsi="方正小标宋_GBK" w:eastAsia="方正小标宋_GBK" w:cs="方正小标宋_GBK"/>
          <w:sz w:val="24"/>
          <w:szCs w:val="44"/>
        </w:rPr>
        <w:t>02</w:t>
      </w:r>
      <w:r>
        <w:rPr>
          <w:rFonts w:hint="eastAsia" w:ascii="方正小标宋_GBK" w:hAnsi="方正小标宋_GBK" w:eastAsia="方正小标宋_GBK" w:cs="方正小标宋_GBK"/>
          <w:sz w:val="24"/>
          <w:szCs w:val="44"/>
          <w:lang w:val="en-US" w:eastAsia="zh-CN"/>
        </w:rPr>
        <w:t>5</w:t>
      </w:r>
      <w:r>
        <w:rPr>
          <w:rFonts w:hint="eastAsia" w:ascii="方正小标宋_GBK" w:hAnsi="方正小标宋_GBK" w:eastAsia="方正小标宋_GBK" w:cs="方正小标宋_GBK"/>
          <w:sz w:val="24"/>
          <w:szCs w:val="44"/>
        </w:rPr>
        <w:t xml:space="preserve"> 年 </w:t>
      </w:r>
      <w:r>
        <w:rPr>
          <w:rFonts w:hint="eastAsia" w:ascii="方正小标宋_GBK" w:hAnsi="方正小标宋_GBK" w:eastAsia="方正小标宋_GBK" w:cs="方正小标宋_GBK"/>
          <w:sz w:val="24"/>
          <w:szCs w:val="44"/>
          <w:lang w:val="en-US" w:eastAsia="zh-CN"/>
        </w:rPr>
        <w:t>7</w:t>
      </w:r>
      <w:r>
        <w:rPr>
          <w:rFonts w:hint="eastAsia" w:ascii="方正小标宋_GBK" w:hAnsi="方正小标宋_GBK" w:eastAsia="方正小标宋_GBK" w:cs="方正小标宋_GBK"/>
          <w:sz w:val="24"/>
          <w:szCs w:val="44"/>
        </w:rPr>
        <w:t>月</w:t>
      </w:r>
    </w:p>
    <w:sdt>
      <w:sdtPr>
        <w:rPr>
          <w:rFonts w:asciiTheme="minorHAnsi" w:hAnsiTheme="minorHAnsi" w:eastAsiaTheme="minorEastAsia" w:cstheme="minorBidi"/>
          <w:b/>
          <w:color w:val="000000" w:themeColor="text1"/>
          <w:kern w:val="2"/>
          <w:sz w:val="21"/>
          <w:szCs w:val="22"/>
          <w:lang w:val="zh-CN"/>
          <w14:textFill>
            <w14:solidFill>
              <w14:schemeClr w14:val="tx1"/>
            </w14:solidFill>
          </w14:textFill>
        </w:rPr>
        <w:id w:val="211832706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34"/>
            <w:spacing w:before="0" w:line="600" w:lineRule="exact"/>
            <w:jc w:val="center"/>
            <w:rPr>
              <w:b/>
              <w:color w:val="000000" w:themeColor="text1"/>
              <w:sz w:val="34"/>
              <w14:textFill>
                <w14:solidFill>
                  <w14:schemeClr w14:val="tx1"/>
                </w14:solidFill>
              </w14:textFill>
            </w:rPr>
          </w:pPr>
          <w:r>
            <w:rPr>
              <w:b/>
              <w:color w:val="000000" w:themeColor="text1"/>
              <w:sz w:val="34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15"/>
            <w:tabs>
              <w:tab w:val="left" w:pos="190"/>
              <w:tab w:val="right" w:leader="dot" w:pos="8296"/>
            </w:tabs>
          </w:pPr>
          <w:r>
            <w:rPr>
              <w:rFonts w:ascii="黑体" w:hAnsi="黑体" w:eastAsia="黑体"/>
              <w:sz w:val="23"/>
            </w:rPr>
            <w:fldChar w:fldCharType="begin"/>
          </w:r>
          <w:r>
            <w:rPr>
              <w:rFonts w:ascii="黑体" w:hAnsi="黑体" w:eastAsia="黑体"/>
              <w:sz w:val="23"/>
            </w:rPr>
            <w:instrText xml:space="preserve"> TOC \o "1-4" \h \z \u </w:instrText>
          </w:r>
          <w:r>
            <w:rPr>
              <w:rFonts w:ascii="黑体" w:hAnsi="黑体" w:eastAsia="黑体"/>
              <w:sz w:val="23"/>
            </w:rPr>
            <w:fldChar w:fldCharType="separate"/>
          </w:r>
          <w:r>
            <w:fldChar w:fldCharType="begin"/>
          </w:r>
          <w:r>
            <w:instrText xml:space="preserve"> HYPERLINK \l "_Toc177669813" </w:instrText>
          </w:r>
          <w:r>
            <w:fldChar w:fldCharType="separate"/>
          </w:r>
          <w:r>
            <w:rPr>
              <w:rStyle w:val="21"/>
            </w:rPr>
            <w:t>1.系统简介</w:t>
          </w:r>
          <w:r>
            <w:tab/>
          </w:r>
          <w:r>
            <w:fldChar w:fldCharType="begin"/>
          </w:r>
          <w:r>
            <w:instrText xml:space="preserve"> PAGEREF _Toc177669813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210"/>
              <w:tab w:val="right" w:leader="dot" w:pos="8296"/>
            </w:tabs>
          </w:pPr>
          <w:r>
            <w:fldChar w:fldCharType="begin"/>
          </w:r>
          <w:r>
            <w:instrText xml:space="preserve"> HYPERLINK \l "_Toc177669814" </w:instrText>
          </w:r>
          <w:r>
            <w:fldChar w:fldCharType="separate"/>
          </w:r>
          <w:r>
            <w:rPr>
              <w:rStyle w:val="21"/>
            </w:rPr>
            <w:t>2.</w:t>
          </w:r>
          <w:r>
            <w:tab/>
          </w:r>
          <w:r>
            <w:rPr>
              <w:rStyle w:val="21"/>
            </w:rPr>
            <w:t>平台入口</w:t>
          </w:r>
          <w:r>
            <w:tab/>
          </w:r>
          <w:r>
            <w:fldChar w:fldCharType="begin"/>
          </w:r>
          <w:r>
            <w:instrText xml:space="preserve"> PAGEREF _Toc177669814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210"/>
              <w:tab w:val="right" w:leader="dot" w:pos="8296"/>
            </w:tabs>
          </w:pPr>
          <w:r>
            <w:fldChar w:fldCharType="begin"/>
          </w:r>
          <w:r>
            <w:instrText xml:space="preserve"> HYPERLINK \l "_Toc177669815" </w:instrText>
          </w:r>
          <w:r>
            <w:fldChar w:fldCharType="separate"/>
          </w:r>
          <w:r>
            <w:rPr>
              <w:rStyle w:val="21"/>
            </w:rPr>
            <w:t>3.</w:t>
          </w:r>
          <w:r>
            <w:tab/>
          </w:r>
          <w:r>
            <w:rPr>
              <w:rStyle w:val="21"/>
            </w:rPr>
            <w:t>账号注册与登录</w:t>
          </w:r>
          <w:r>
            <w:tab/>
          </w:r>
          <w:r>
            <w:fldChar w:fldCharType="begin"/>
          </w:r>
          <w:r>
            <w:instrText xml:space="preserve"> PAGEREF _Toc177669815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"_Toc177669816" </w:instrText>
          </w:r>
          <w:r>
            <w:fldChar w:fldCharType="separate"/>
          </w:r>
          <w:r>
            <w:rPr>
              <w:rStyle w:val="21"/>
            </w:rPr>
            <w:t>3.1.平台用户注册</w:t>
          </w:r>
          <w:r>
            <w:tab/>
          </w:r>
          <w:r>
            <w:fldChar w:fldCharType="begin"/>
          </w:r>
          <w:r>
            <w:instrText xml:space="preserve"> PAGEREF _Toc177669816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"_Toc177669817" </w:instrText>
          </w:r>
          <w:r>
            <w:fldChar w:fldCharType="separate"/>
          </w:r>
          <w:r>
            <w:rPr>
              <w:rStyle w:val="21"/>
            </w:rPr>
            <w:t>3.2.平台用户登录</w:t>
          </w:r>
          <w:r>
            <w:tab/>
          </w:r>
          <w:r>
            <w:fldChar w:fldCharType="begin"/>
          </w:r>
          <w:r>
            <w:instrText xml:space="preserve"> PAGEREF _Toc177669817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210"/>
              <w:tab w:val="right" w:leader="dot" w:pos="8296"/>
            </w:tabs>
          </w:pPr>
          <w:r>
            <w:fldChar w:fldCharType="begin"/>
          </w:r>
          <w:r>
            <w:instrText xml:space="preserve"> HYPERLINK \l "_Toc177669818" </w:instrText>
          </w:r>
          <w:r>
            <w:fldChar w:fldCharType="separate"/>
          </w:r>
          <w:r>
            <w:rPr>
              <w:rStyle w:val="21"/>
            </w:rPr>
            <w:t>4.</w:t>
          </w:r>
          <w:r>
            <w:tab/>
          </w:r>
          <w:r>
            <w:rPr>
              <w:rStyle w:val="21"/>
            </w:rPr>
            <w:t>自治区工程研究中心</w:t>
          </w:r>
          <w:r>
            <w:rPr>
              <w:rStyle w:val="21"/>
              <w:rFonts w:hint="eastAsia"/>
              <w:lang w:eastAsia="zh-CN"/>
            </w:rPr>
            <w:t>（</w:t>
          </w:r>
          <w:r>
            <w:rPr>
              <w:rStyle w:val="21"/>
              <w:rFonts w:hint="eastAsia"/>
            </w:rPr>
            <w:t>人工智能场景工程研究中心</w:t>
          </w:r>
          <w:r>
            <w:rPr>
              <w:rStyle w:val="21"/>
              <w:rFonts w:hint="eastAsia"/>
              <w:lang w:eastAsia="zh-CN"/>
            </w:rPr>
            <w:t>）</w:t>
          </w:r>
          <w:r>
            <w:rPr>
              <w:rStyle w:val="21"/>
            </w:rPr>
            <w:t>申报与评价系统</w:t>
          </w:r>
          <w:r>
            <w:tab/>
          </w:r>
          <w:r>
            <w:fldChar w:fldCharType="begin"/>
          </w:r>
          <w:r>
            <w:instrText xml:space="preserve"> PAGEREF _Toc177669818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"_Toc177669819" </w:instrText>
          </w:r>
          <w:r>
            <w:fldChar w:fldCharType="separate"/>
          </w:r>
          <w:r>
            <w:rPr>
              <w:rStyle w:val="21"/>
            </w:rPr>
            <w:t>4.1.自治区工程研究中心</w:t>
          </w:r>
          <w:r>
            <w:rPr>
              <w:rStyle w:val="21"/>
              <w:rFonts w:hint="eastAsia"/>
              <w:lang w:eastAsia="zh-CN"/>
            </w:rPr>
            <w:t>（</w:t>
          </w:r>
          <w:r>
            <w:rPr>
              <w:rStyle w:val="21"/>
              <w:rFonts w:hint="eastAsia"/>
            </w:rPr>
            <w:t>人工智能场景工程研究中心</w:t>
          </w:r>
          <w:r>
            <w:rPr>
              <w:rStyle w:val="21"/>
              <w:rFonts w:hint="eastAsia"/>
              <w:lang w:eastAsia="zh-CN"/>
            </w:rPr>
            <w:t>）</w:t>
          </w:r>
          <w:r>
            <w:rPr>
              <w:rStyle w:val="21"/>
            </w:rPr>
            <w:t>申报</w:t>
          </w:r>
          <w:r>
            <w:tab/>
          </w:r>
          <w:r>
            <w:fldChar w:fldCharType="begin"/>
          </w:r>
          <w:r>
            <w:instrText xml:space="preserve"> PAGEREF _Toc177669819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"_Toc177669820" </w:instrText>
          </w:r>
          <w:r>
            <w:fldChar w:fldCharType="separate"/>
          </w:r>
          <w:r>
            <w:rPr>
              <w:rStyle w:val="21"/>
            </w:rPr>
            <w:t>4.1.1.新增申报</w:t>
          </w:r>
          <w:r>
            <w:tab/>
          </w:r>
          <w:r>
            <w:fldChar w:fldCharType="begin"/>
          </w:r>
          <w:r>
            <w:instrText xml:space="preserve"> PAGEREF _Toc177669820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"_Toc177669821" </w:instrText>
          </w:r>
          <w:r>
            <w:fldChar w:fldCharType="separate"/>
          </w:r>
          <w:r>
            <w:rPr>
              <w:rStyle w:val="21"/>
            </w:rPr>
            <w:t>4.1.2.查询</w:t>
          </w:r>
          <w:r>
            <w:tab/>
          </w:r>
          <w:r>
            <w:fldChar w:fldCharType="begin"/>
          </w:r>
          <w:r>
            <w:instrText xml:space="preserve"> PAGEREF _Toc177669821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"_Toc177669822" </w:instrText>
          </w:r>
          <w:r>
            <w:fldChar w:fldCharType="separate"/>
          </w:r>
          <w:r>
            <w:rPr>
              <w:rStyle w:val="21"/>
            </w:rPr>
            <w:t>4.1.3.修改</w:t>
          </w:r>
          <w:r>
            <w:tab/>
          </w:r>
          <w:r>
            <w:fldChar w:fldCharType="begin"/>
          </w:r>
          <w:r>
            <w:instrText xml:space="preserve"> PAGEREF _Toc177669822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"_Toc177669823" </w:instrText>
          </w:r>
          <w:r>
            <w:fldChar w:fldCharType="separate"/>
          </w:r>
          <w:r>
            <w:rPr>
              <w:rStyle w:val="21"/>
            </w:rPr>
            <w:t>4.1.4.删除</w:t>
          </w:r>
          <w:r>
            <w:tab/>
          </w:r>
          <w:r>
            <w:fldChar w:fldCharType="begin"/>
          </w:r>
          <w:r>
            <w:instrText xml:space="preserve"> PAGEREF _Toc177669823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"_Toc177669824" </w:instrText>
          </w:r>
          <w:r>
            <w:fldChar w:fldCharType="separate"/>
          </w:r>
          <w:r>
            <w:rPr>
              <w:rStyle w:val="21"/>
            </w:rPr>
            <w:t>4.2.自治区工程研究中心评价</w:t>
          </w:r>
          <w:r>
            <w:tab/>
          </w:r>
          <w:r>
            <w:fldChar w:fldCharType="begin"/>
          </w:r>
          <w:r>
            <w:instrText xml:space="preserve"> PAGEREF _Toc177669824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"_Toc177669825" </w:instrText>
          </w:r>
          <w:r>
            <w:fldChar w:fldCharType="separate"/>
          </w:r>
          <w:r>
            <w:rPr>
              <w:rStyle w:val="21"/>
            </w:rPr>
            <w:t>4.2.1.新增评价</w:t>
          </w:r>
          <w:r>
            <w:tab/>
          </w:r>
          <w:r>
            <w:fldChar w:fldCharType="begin"/>
          </w:r>
          <w:r>
            <w:instrText xml:space="preserve"> PAGEREF _Toc177669825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"_Toc177669826" </w:instrText>
          </w:r>
          <w:r>
            <w:fldChar w:fldCharType="separate"/>
          </w:r>
          <w:r>
            <w:rPr>
              <w:rStyle w:val="21"/>
            </w:rPr>
            <w:t>4.2.2.查询</w:t>
          </w:r>
          <w:r>
            <w:tab/>
          </w:r>
          <w:r>
            <w:fldChar w:fldCharType="begin"/>
          </w:r>
          <w:r>
            <w:instrText xml:space="preserve"> PAGEREF _Toc177669826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"_Toc177669827" </w:instrText>
          </w:r>
          <w:r>
            <w:fldChar w:fldCharType="separate"/>
          </w:r>
          <w:r>
            <w:rPr>
              <w:rStyle w:val="21"/>
            </w:rPr>
            <w:t>4.2.3.修改</w:t>
          </w:r>
          <w:r>
            <w:tab/>
          </w:r>
          <w:r>
            <w:fldChar w:fldCharType="begin"/>
          </w:r>
          <w:r>
            <w:instrText xml:space="preserve"> PAGEREF _Toc177669827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"_Toc177669828" </w:instrText>
          </w:r>
          <w:r>
            <w:fldChar w:fldCharType="separate"/>
          </w:r>
          <w:r>
            <w:rPr>
              <w:rStyle w:val="21"/>
            </w:rPr>
            <w:t>4.2.4.删除</w:t>
          </w:r>
          <w:r>
            <w:tab/>
          </w:r>
          <w:r>
            <w:fldChar w:fldCharType="begin"/>
          </w:r>
          <w:r>
            <w:instrText xml:space="preserve"> PAGEREF _Toc177669828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210"/>
              <w:tab w:val="right" w:leader="dot" w:pos="8296"/>
            </w:tabs>
          </w:pPr>
          <w:r>
            <w:fldChar w:fldCharType="begin"/>
          </w:r>
          <w:r>
            <w:instrText xml:space="preserve"> HYPERLINK \l "_Toc177669829" </w:instrText>
          </w:r>
          <w:r>
            <w:fldChar w:fldCharType="separate"/>
          </w:r>
          <w:r>
            <w:rPr>
              <w:rStyle w:val="21"/>
            </w:rPr>
            <w:t>5.</w:t>
          </w:r>
          <w:r>
            <w:tab/>
          </w:r>
          <w:r>
            <w:rPr>
              <w:rStyle w:val="21"/>
            </w:rPr>
            <w:t>技术支持</w:t>
          </w:r>
          <w:r>
            <w:tab/>
          </w:r>
          <w:r>
            <w:fldChar w:fldCharType="begin"/>
          </w:r>
          <w:r>
            <w:instrText xml:space="preserve"> PAGEREF _Toc177669829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spacing w:line="600" w:lineRule="exact"/>
          </w:pPr>
          <w:r>
            <w:rPr>
              <w:rFonts w:ascii="黑体" w:hAnsi="黑体" w:eastAsia="黑体"/>
              <w:sz w:val="23"/>
            </w:rPr>
            <w:fldChar w:fldCharType="end"/>
          </w:r>
        </w:p>
      </w:sdtContent>
    </w:sdt>
    <w:p>
      <w:pPr>
        <w:spacing w:line="600" w:lineRule="exact"/>
        <w:jc w:val="right"/>
        <w:rPr>
          <w:rFonts w:ascii="微软雅黑" w:hAnsi="微软雅黑" w:eastAsia="微软雅黑" w:cs="微软雅黑"/>
          <w:color w:val="0070C0"/>
          <w:sz w:val="22"/>
        </w:rPr>
      </w:pPr>
      <w:r>
        <w:rPr>
          <w:rFonts w:hint="eastAsia" w:ascii="微软雅黑" w:hAnsi="微软雅黑" w:eastAsia="微软雅黑" w:cs="微软雅黑"/>
          <w:color w:val="0070C0"/>
          <w:sz w:val="24"/>
          <w:szCs w:val="24"/>
        </w:rPr>
        <w:t xml:space="preserve"> </w:t>
      </w:r>
    </w:p>
    <w:p>
      <w:pPr>
        <w:spacing w:line="600" w:lineRule="exact"/>
        <w:rPr>
          <w:sz w:val="28"/>
          <w:szCs w:val="28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upperRoman"/>
          <w:cols w:space="425" w:num="1"/>
          <w:docGrid w:type="lines" w:linePitch="312" w:charSpace="0"/>
        </w:sectPr>
      </w:pPr>
    </w:p>
    <w:p>
      <w:pPr>
        <w:pStyle w:val="41"/>
        <w:numPr>
          <w:ilvl w:val="0"/>
          <w:numId w:val="1"/>
        </w:numPr>
        <w:rPr>
          <w:b w:val="0"/>
          <w:bCs/>
        </w:rPr>
      </w:pPr>
      <w:bookmarkStart w:id="0" w:name="_Toc177669813"/>
      <w:bookmarkStart w:id="1" w:name="_Toc1581625192"/>
      <w:bookmarkStart w:id="2" w:name="_Toc176973693"/>
      <w:bookmarkStart w:id="3" w:name="_Toc14892"/>
      <w:bookmarkStart w:id="4" w:name="_Toc21148"/>
      <w:bookmarkStart w:id="5" w:name="_Toc2062"/>
      <w:bookmarkStart w:id="6" w:name="_Toc8677"/>
      <w:bookmarkStart w:id="7" w:name="_一．平台入口"/>
      <w:r>
        <w:rPr>
          <w:rFonts w:hint="eastAsia"/>
          <w:b w:val="0"/>
          <w:bCs/>
        </w:rPr>
        <w:t>系统简介</w:t>
      </w:r>
      <w:bookmarkEnd w:id="0"/>
      <w:bookmarkEnd w:id="1"/>
      <w:bookmarkEnd w:id="2"/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自治区工程研究中心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（或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人工智能场景工程研究中心）</w:t>
      </w:r>
      <w:r>
        <w:rPr>
          <w:rFonts w:hint="eastAsia" w:ascii="仿宋_GB2312" w:hAnsi="Times New Roman" w:eastAsia="仿宋_GB2312" w:cs="Times New Roman"/>
          <w:sz w:val="32"/>
          <w:szCs w:val="32"/>
        </w:rPr>
        <w:t>申报与评价系统依托广西投资项目在线审批监管平台（以下称为“平台”）建设。系统由自治区工程研究中心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（或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人工智能场景工程研究中心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）</w:t>
      </w:r>
      <w:r>
        <w:rPr>
          <w:rFonts w:hint="eastAsia" w:ascii="仿宋_GB2312" w:hAnsi="Times New Roman" w:eastAsia="仿宋_GB2312" w:cs="Times New Roman"/>
          <w:b/>
          <w:sz w:val="32"/>
          <w:szCs w:val="32"/>
        </w:rPr>
        <w:t>申报</w:t>
      </w:r>
      <w:r>
        <w:rPr>
          <w:rFonts w:hint="eastAsia" w:ascii="仿宋_GB2312" w:hAnsi="Times New Roman" w:eastAsia="仿宋_GB2312" w:cs="Times New Roman"/>
          <w:sz w:val="32"/>
          <w:szCs w:val="32"/>
        </w:rPr>
        <w:t>和自治区工程研究中心</w:t>
      </w:r>
      <w:r>
        <w:rPr>
          <w:rFonts w:hint="eastAsia" w:ascii="仿宋_GB2312" w:hAnsi="Times New Roman" w:eastAsia="仿宋_GB2312" w:cs="Times New Roman"/>
          <w:b/>
          <w:sz w:val="32"/>
          <w:szCs w:val="32"/>
        </w:rPr>
        <w:t>评价</w:t>
      </w:r>
      <w:r>
        <w:rPr>
          <w:rFonts w:hint="eastAsia" w:ascii="仿宋_GB2312" w:hAnsi="Times New Roman" w:eastAsia="仿宋_GB2312" w:cs="Times New Roman"/>
          <w:sz w:val="32"/>
          <w:szCs w:val="32"/>
        </w:rPr>
        <w:t>模块组成。依托单位（以下称为“业主”）通过自治区工程研究中心申报与评价系统报送工程研究中心信息。</w:t>
      </w:r>
    </w:p>
    <w:p>
      <w:pPr>
        <w:widowControl/>
        <w:spacing w:line="600" w:lineRule="exact"/>
        <w:jc w:val="left"/>
        <w:rPr>
          <w:rFonts w:ascii="仿宋" w:hAnsi="仿宋" w:eastAsia="仿宋" w:cs="宋体"/>
          <w:color w:val="3E3E3E"/>
          <w:kern w:val="0"/>
          <w:sz w:val="32"/>
          <w:szCs w:val="32"/>
        </w:rPr>
      </w:pPr>
      <w:r>
        <w:rPr>
          <w:rFonts w:ascii="仿宋" w:hAnsi="仿宋" w:eastAsia="仿宋" w:cs="宋体"/>
          <w:color w:val="3E3E3E"/>
          <w:kern w:val="0"/>
          <w:sz w:val="32"/>
          <w:szCs w:val="32"/>
        </w:rPr>
        <w:br w:type="page"/>
      </w:r>
    </w:p>
    <w:p>
      <w:pPr>
        <w:pStyle w:val="41"/>
        <w:numPr>
          <w:ilvl w:val="0"/>
          <w:numId w:val="1"/>
        </w:numPr>
        <w:rPr>
          <w:b w:val="0"/>
          <w:bCs/>
        </w:rPr>
      </w:pPr>
      <w:bookmarkStart w:id="8" w:name="_Toc177669814"/>
      <w:bookmarkStart w:id="9" w:name="_Toc176973694"/>
      <w:r>
        <w:rPr>
          <w:rFonts w:hint="eastAsia"/>
          <w:b w:val="0"/>
          <w:bCs/>
        </w:rPr>
        <w:t>平台入口</w:t>
      </w:r>
      <w:bookmarkEnd w:id="3"/>
      <w:bookmarkEnd w:id="4"/>
      <w:bookmarkEnd w:id="5"/>
      <w:bookmarkEnd w:id="6"/>
      <w:bookmarkEnd w:id="8"/>
      <w:bookmarkEnd w:id="9"/>
    </w:p>
    <w:bookmarkEnd w:id="7"/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自治区工程研究中心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（或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人工智能场景工程研究中心）</w:t>
      </w:r>
      <w:r>
        <w:rPr>
          <w:rFonts w:hint="eastAsia" w:ascii="仿宋_GB2312" w:hAnsi="Times New Roman" w:eastAsia="仿宋_GB2312" w:cs="Times New Roman"/>
          <w:sz w:val="32"/>
          <w:szCs w:val="32"/>
        </w:rPr>
        <w:t>申报与评价通过【广西</w:t>
      </w:r>
      <w:r>
        <w:rPr>
          <w:rFonts w:ascii="仿宋_GB2312" w:hAnsi="Times New Roman" w:eastAsia="仿宋_GB2312" w:cs="Times New Roman"/>
          <w:sz w:val="32"/>
          <w:szCs w:val="32"/>
        </w:rPr>
        <w:t>投资</w:t>
      </w:r>
      <w:r>
        <w:rPr>
          <w:rFonts w:hint="eastAsia" w:ascii="仿宋_GB2312" w:hAnsi="Times New Roman" w:eastAsia="仿宋_GB2312" w:cs="Times New Roman"/>
          <w:sz w:val="32"/>
          <w:szCs w:val="32"/>
        </w:rPr>
        <w:t>项目</w:t>
      </w:r>
      <w:r>
        <w:rPr>
          <w:rFonts w:ascii="仿宋_GB2312" w:hAnsi="Times New Roman" w:eastAsia="仿宋_GB2312" w:cs="Times New Roman"/>
          <w:sz w:val="32"/>
          <w:szCs w:val="32"/>
        </w:rPr>
        <w:t>在线审批监管平台</w:t>
      </w:r>
      <w:r>
        <w:rPr>
          <w:rFonts w:hint="eastAsia" w:ascii="仿宋_GB2312" w:hAnsi="Times New Roman" w:eastAsia="仿宋_GB2312" w:cs="Times New Roman"/>
          <w:sz w:val="32"/>
          <w:szCs w:val="32"/>
        </w:rPr>
        <w:t>】申报。</w:t>
      </w:r>
    </w:p>
    <w:p>
      <w:pPr>
        <w:spacing w:line="600" w:lineRule="exact"/>
        <w:ind w:firstLine="642" w:firstLineChars="200"/>
        <w:rPr>
          <w:rStyle w:val="21"/>
          <w:rFonts w:hint="eastAsia" w:ascii="Times New Roman" w:hAnsi="Times New Roman" w:eastAsia="宋体" w:cs="Times New Roman"/>
          <w:color w:val="auto"/>
          <w:sz w:val="36"/>
          <w:szCs w:val="36"/>
          <w:u w:val="none"/>
          <w:lang w:val="en-US" w:eastAsia="zh-CN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入口方式一：</w:t>
      </w:r>
      <w:r>
        <w:rPr>
          <w:rFonts w:hint="eastAsia" w:ascii="仿宋_GB2312" w:hAnsi="Times New Roman" w:eastAsia="仿宋_GB2312" w:cs="Times New Roman"/>
          <w:sz w:val="32"/>
          <w:szCs w:val="32"/>
        </w:rPr>
        <w:t>网页搜索【广西</w:t>
      </w:r>
      <w:r>
        <w:rPr>
          <w:rFonts w:ascii="仿宋_GB2312" w:hAnsi="Times New Roman" w:eastAsia="仿宋_GB2312" w:cs="Times New Roman"/>
          <w:sz w:val="32"/>
          <w:szCs w:val="32"/>
        </w:rPr>
        <w:t>投资</w:t>
      </w:r>
      <w:r>
        <w:rPr>
          <w:rFonts w:hint="eastAsia" w:ascii="仿宋_GB2312" w:hAnsi="Times New Roman" w:eastAsia="仿宋_GB2312" w:cs="Times New Roman"/>
          <w:sz w:val="32"/>
          <w:szCs w:val="32"/>
        </w:rPr>
        <w:t>项目</w:t>
      </w:r>
      <w:r>
        <w:rPr>
          <w:rFonts w:ascii="仿宋_GB2312" w:hAnsi="Times New Roman" w:eastAsia="仿宋_GB2312" w:cs="Times New Roman"/>
          <w:sz w:val="32"/>
          <w:szCs w:val="32"/>
        </w:rPr>
        <w:t>在线审批监管平台</w:t>
      </w:r>
      <w:r>
        <w:rPr>
          <w:rFonts w:hint="eastAsia" w:ascii="仿宋_GB2312" w:hAnsi="Times New Roman" w:eastAsia="仿宋_GB2312" w:cs="Times New Roman"/>
          <w:sz w:val="32"/>
          <w:szCs w:val="32"/>
        </w:rPr>
        <w:t>】或者直接输入网址</w:t>
      </w:r>
      <w:r>
        <w:fldChar w:fldCharType="begin"/>
      </w:r>
      <w:r>
        <w:instrText xml:space="preserve"> HYPERLINK "https://zxsp.fgw.gxzf.gov.cn/" </w:instrText>
      </w:r>
      <w:r>
        <w:fldChar w:fldCharType="separate"/>
      </w:r>
      <w:r>
        <w:rPr>
          <w:rStyle w:val="21"/>
          <w:rFonts w:ascii="Times New Roman" w:hAnsi="Times New Roman" w:eastAsia="宋体" w:cs="Times New Roman"/>
          <w:sz w:val="36"/>
          <w:szCs w:val="36"/>
        </w:rPr>
        <w:t>https://zxsp.fgw.gxzf.gov.cn/</w:t>
      </w:r>
      <w:r>
        <w:rPr>
          <w:rStyle w:val="21"/>
          <w:rFonts w:ascii="Times New Roman" w:hAnsi="Times New Roman" w:eastAsia="宋体" w:cs="Times New Roman"/>
          <w:sz w:val="36"/>
          <w:szCs w:val="36"/>
        </w:rPr>
        <w:fldChar w:fldCharType="end"/>
      </w:r>
      <w:r>
        <w:rPr>
          <w:rStyle w:val="21"/>
          <w:rFonts w:hint="eastAsia" w:ascii="Times New Roman" w:hAnsi="Times New Roman" w:eastAsia="宋体" w:cs="Times New Roman"/>
          <w:color w:val="auto"/>
          <w:sz w:val="36"/>
          <w:szCs w:val="36"/>
          <w:u w:val="none"/>
          <w:lang w:val="en-US" w:eastAsia="zh-CN"/>
        </w:rPr>
        <w:t>。</w:t>
      </w:r>
    </w:p>
    <w:p>
      <w:pPr>
        <w:spacing w:line="600" w:lineRule="exact"/>
        <w:ind w:firstLine="420" w:firstLineChars="200"/>
        <w:rPr>
          <w:rStyle w:val="21"/>
          <w:rFonts w:ascii="Times New Roman" w:hAnsi="Times New Roman" w:eastAsia="宋体" w:cs="Times New Roman"/>
          <w:sz w:val="36"/>
          <w:szCs w:val="36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374015</wp:posOffset>
            </wp:positionV>
            <wp:extent cx="5274310" cy="2644140"/>
            <wp:effectExtent l="0" t="0" r="2540" b="381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642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入口方式二：</w:t>
      </w:r>
      <w:r>
        <w:rPr>
          <w:rFonts w:hint="eastAsia" w:ascii="仿宋_GB2312" w:hAnsi="Times New Roman" w:eastAsia="仿宋_GB2312" w:cs="Times New Roman"/>
          <w:sz w:val="32"/>
          <w:szCs w:val="32"/>
        </w:rPr>
        <w:t>广西壮族自治区发展和改革委员会网站</w:t>
      </w:r>
      <w:r>
        <w:rPr>
          <w:rFonts w:ascii="仿宋_GB2312" w:hAnsi="Times New Roman" w:eastAsia="仿宋_GB2312" w:cs="Times New Roman"/>
          <w:sz w:val="32"/>
          <w:szCs w:val="32"/>
        </w:rPr>
        <w:t>首页</w:t>
      </w:r>
      <w:r>
        <w:rPr>
          <w:rFonts w:hint="eastAsia" w:ascii="仿宋_GB2312" w:hAnsi="Times New Roman" w:eastAsia="仿宋_GB2312" w:cs="Times New Roman"/>
          <w:sz w:val="32"/>
          <w:szCs w:val="32"/>
        </w:rPr>
        <w:t>底部</w:t>
      </w:r>
      <w:r>
        <w:rPr>
          <w:rFonts w:ascii="仿宋_GB2312" w:hAnsi="Times New Roman" w:eastAsia="仿宋_GB2312" w:cs="Times New Roman"/>
          <w:sz w:val="32"/>
          <w:szCs w:val="32"/>
        </w:rPr>
        <w:t>-</w:t>
      </w:r>
      <w:r>
        <w:rPr>
          <w:rFonts w:hint="eastAsia" w:ascii="仿宋_GB2312" w:hAnsi="Times New Roman" w:eastAsia="仿宋_GB2312" w:cs="Times New Roman"/>
          <w:sz w:val="32"/>
          <w:szCs w:val="32"/>
        </w:rPr>
        <w:t>便民服务-</w:t>
      </w:r>
      <w:r>
        <w:rPr>
          <w:rFonts w:ascii="仿宋_GB2312" w:hAnsi="Times New Roman" w:eastAsia="仿宋_GB2312" w:cs="Times New Roman"/>
          <w:sz w:val="32"/>
          <w:szCs w:val="32"/>
        </w:rPr>
        <w:t>点击【</w:t>
      </w:r>
      <w:r>
        <w:rPr>
          <w:rFonts w:hint="eastAsia" w:ascii="仿宋_GB2312" w:hAnsi="Times New Roman" w:eastAsia="仿宋_GB2312" w:cs="Times New Roman"/>
          <w:sz w:val="32"/>
          <w:szCs w:val="32"/>
        </w:rPr>
        <w:t>广西</w:t>
      </w:r>
      <w:r>
        <w:rPr>
          <w:rFonts w:ascii="仿宋_GB2312" w:hAnsi="Times New Roman" w:eastAsia="仿宋_GB2312" w:cs="Times New Roman"/>
          <w:sz w:val="32"/>
          <w:szCs w:val="32"/>
        </w:rPr>
        <w:t>投资</w:t>
      </w:r>
      <w:r>
        <w:rPr>
          <w:rFonts w:hint="eastAsia" w:ascii="仿宋_GB2312" w:hAnsi="Times New Roman" w:eastAsia="仿宋_GB2312" w:cs="Times New Roman"/>
          <w:sz w:val="32"/>
          <w:szCs w:val="32"/>
        </w:rPr>
        <w:t>项目</w:t>
      </w:r>
      <w:r>
        <w:rPr>
          <w:rFonts w:ascii="仿宋_GB2312" w:hAnsi="Times New Roman" w:eastAsia="仿宋_GB2312" w:cs="Times New Roman"/>
          <w:sz w:val="32"/>
          <w:szCs w:val="32"/>
        </w:rPr>
        <w:t>在线审批监管平台】</w:t>
      </w:r>
      <w:r>
        <w:rPr>
          <w:rFonts w:hint="eastAsia" w:ascii="仿宋_GB2312" w:hAnsi="Times New Roman" w:eastAsia="仿宋_GB2312" w:cs="Times New Roman"/>
          <w:sz w:val="32"/>
          <w:szCs w:val="32"/>
        </w:rPr>
        <w:t>进入。</w:t>
      </w:r>
    </w:p>
    <w:p>
      <w:pPr>
        <w:jc w:val="center"/>
      </w:pPr>
      <w:r>
        <w:drawing>
          <wp:inline distT="0" distB="0" distL="0" distR="0">
            <wp:extent cx="4683125" cy="4318000"/>
            <wp:effectExtent l="0" t="0" r="317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7222" cy="433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</w:pPr>
    </w:p>
    <w:p>
      <w:pPr>
        <w:jc w:val="center"/>
      </w:pPr>
      <w:r>
        <w:drawing>
          <wp:inline distT="0" distB="0" distL="0" distR="0">
            <wp:extent cx="5107940" cy="2934970"/>
            <wp:effectExtent l="0" t="0" r="1016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0" distR="0">
            <wp:extent cx="5274310" cy="28460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jc w:val="left"/>
      </w:pPr>
      <w:r>
        <w:br w:type="page"/>
      </w:r>
    </w:p>
    <w:p>
      <w:pPr>
        <w:pStyle w:val="41"/>
        <w:numPr>
          <w:ilvl w:val="0"/>
          <w:numId w:val="1"/>
        </w:numPr>
        <w:rPr>
          <w:b w:val="0"/>
          <w:bCs/>
        </w:rPr>
      </w:pPr>
      <w:bookmarkStart w:id="10" w:name="_Toc176973695"/>
      <w:bookmarkStart w:id="11" w:name="_Toc19784"/>
      <w:bookmarkStart w:id="12" w:name="_Toc2185"/>
      <w:bookmarkStart w:id="13" w:name="_Toc177115364"/>
      <w:bookmarkStart w:id="14" w:name="_Toc177669815"/>
      <w:r>
        <w:rPr>
          <w:rFonts w:hint="eastAsia"/>
          <w:b w:val="0"/>
          <w:bCs/>
        </w:rPr>
        <w:t>账号注册</w:t>
      </w:r>
      <w:bookmarkEnd w:id="10"/>
      <w:bookmarkEnd w:id="11"/>
      <w:bookmarkEnd w:id="12"/>
      <w:r>
        <w:rPr>
          <w:rFonts w:hint="eastAsia"/>
          <w:b w:val="0"/>
          <w:bCs/>
        </w:rPr>
        <w:t>与登录</w:t>
      </w:r>
      <w:bookmarkEnd w:id="13"/>
      <w:bookmarkEnd w:id="14"/>
    </w:p>
    <w:p>
      <w:pPr>
        <w:pStyle w:val="41"/>
        <w:numPr>
          <w:ilvl w:val="1"/>
          <w:numId w:val="1"/>
        </w:numPr>
        <w:outlineLvl w:val="1"/>
        <w:rPr>
          <w:b w:val="0"/>
          <w:bCs/>
        </w:rPr>
      </w:pPr>
      <w:bookmarkStart w:id="15" w:name="_Toc177669816"/>
      <w:bookmarkStart w:id="16" w:name="_Toc177115365"/>
      <w:r>
        <w:rPr>
          <w:rFonts w:hint="eastAsia"/>
          <w:b w:val="0"/>
          <w:bCs/>
        </w:rPr>
        <w:t>平台用户注册</w:t>
      </w:r>
      <w:bookmarkEnd w:id="15"/>
      <w:bookmarkEnd w:id="16"/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在首页的“用户登录”框中点击“用户注册”按钮，如下：</w:t>
      </w:r>
    </w:p>
    <w:p>
      <w:pPr>
        <w:pStyle w:val="39"/>
        <w:spacing w:line="240" w:lineRule="auto"/>
        <w:ind w:firstLine="0" w:firstLineChars="0"/>
        <w:jc w:val="center"/>
      </w:pPr>
      <w:r>
        <w:drawing>
          <wp:inline distT="0" distB="0" distL="0" distR="0">
            <wp:extent cx="5747385" cy="2603500"/>
            <wp:effectExtent l="0" t="0" r="5715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9"/>
        <w:spacing w:line="600" w:lineRule="exact"/>
        <w:ind w:firstLine="0" w:firstLineChars="0"/>
      </w:pPr>
    </w:p>
    <w:p>
      <w:pPr>
        <w:pStyle w:val="39"/>
        <w:spacing w:line="600" w:lineRule="exact"/>
        <w:ind w:firstLine="0" w:firstLineChars="0"/>
      </w:pPr>
    </w:p>
    <w:p>
      <w:pPr>
        <w:pStyle w:val="39"/>
        <w:spacing w:line="600" w:lineRule="exact"/>
        <w:ind w:firstLine="0" w:firstLineChars="0"/>
      </w:pPr>
    </w:p>
    <w:p>
      <w:pPr>
        <w:pStyle w:val="39"/>
        <w:spacing w:line="600" w:lineRule="exact"/>
        <w:ind w:firstLine="0" w:firstLineChars="0"/>
      </w:pPr>
    </w:p>
    <w:p>
      <w:pPr>
        <w:pStyle w:val="39"/>
        <w:spacing w:line="600" w:lineRule="exact"/>
        <w:ind w:firstLine="0" w:firstLineChars="0"/>
      </w:pPr>
    </w:p>
    <w:p>
      <w:pPr>
        <w:pStyle w:val="39"/>
        <w:spacing w:line="600" w:lineRule="exact"/>
        <w:ind w:firstLine="0" w:firstLineChars="0"/>
      </w:pPr>
    </w:p>
    <w:p>
      <w:pPr>
        <w:pStyle w:val="39"/>
        <w:spacing w:line="600" w:lineRule="exact"/>
        <w:ind w:firstLine="0" w:firstLineChars="0"/>
      </w:pPr>
    </w:p>
    <w:p>
      <w:pPr>
        <w:pStyle w:val="39"/>
        <w:spacing w:line="600" w:lineRule="exact"/>
        <w:ind w:firstLine="0" w:firstLineChars="0"/>
      </w:pPr>
    </w:p>
    <w:p>
      <w:pPr>
        <w:pStyle w:val="39"/>
        <w:spacing w:line="600" w:lineRule="exact"/>
        <w:ind w:firstLine="0" w:firstLineChars="0"/>
      </w:pPr>
    </w:p>
    <w:p>
      <w:pPr>
        <w:pStyle w:val="39"/>
        <w:spacing w:line="600" w:lineRule="exact"/>
        <w:ind w:firstLine="0" w:firstLineChars="0"/>
      </w:pPr>
    </w:p>
    <w:p>
      <w:pPr>
        <w:pStyle w:val="39"/>
        <w:spacing w:line="600" w:lineRule="exact"/>
        <w:ind w:firstLine="0" w:firstLineChars="0"/>
      </w:pPr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进入注册页面后，按照要求填写好注册信息，点击“立即注册”按钮。</w:t>
      </w:r>
    </w:p>
    <w:p>
      <w:pPr>
        <w:pStyle w:val="39"/>
        <w:spacing w:line="240" w:lineRule="auto"/>
        <w:ind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5747385" cy="6064885"/>
            <wp:effectExtent l="0" t="0" r="5715" b="0"/>
            <wp:docPr id="49" name="图片 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60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9"/>
        <w:spacing w:line="600" w:lineRule="exact"/>
        <w:ind w:firstLine="0" w:firstLineChars="0"/>
        <w:jc w:val="center"/>
      </w:pPr>
    </w:p>
    <w:p>
      <w:pPr>
        <w:pStyle w:val="39"/>
        <w:spacing w:line="600" w:lineRule="exact"/>
        <w:ind w:firstLine="0" w:firstLineChars="0"/>
        <w:jc w:val="center"/>
      </w:pPr>
    </w:p>
    <w:p>
      <w:pPr>
        <w:pStyle w:val="39"/>
        <w:spacing w:line="600" w:lineRule="exact"/>
        <w:ind w:firstLine="0" w:firstLineChars="0"/>
        <w:jc w:val="center"/>
      </w:pPr>
    </w:p>
    <w:p>
      <w:pPr>
        <w:pStyle w:val="39"/>
        <w:spacing w:line="600" w:lineRule="exact"/>
        <w:ind w:firstLine="0" w:firstLineChars="0"/>
        <w:jc w:val="center"/>
      </w:pPr>
    </w:p>
    <w:p>
      <w:pPr>
        <w:pStyle w:val="39"/>
        <w:spacing w:line="600" w:lineRule="exact"/>
        <w:ind w:firstLine="0" w:firstLineChars="0"/>
        <w:jc w:val="center"/>
      </w:pPr>
    </w:p>
    <w:p>
      <w:pPr>
        <w:pStyle w:val="41"/>
        <w:numPr>
          <w:ilvl w:val="1"/>
          <w:numId w:val="1"/>
        </w:numPr>
        <w:outlineLvl w:val="1"/>
        <w:rPr>
          <w:b w:val="0"/>
          <w:bCs/>
        </w:rPr>
      </w:pPr>
      <w:bookmarkStart w:id="17" w:name="_Toc177115366"/>
      <w:bookmarkStart w:id="18" w:name="_Toc14643740"/>
      <w:bookmarkStart w:id="19" w:name="_Toc177669817"/>
      <w:r>
        <w:rPr>
          <w:rFonts w:hint="eastAsia"/>
          <w:b w:val="0"/>
          <w:bCs/>
        </w:rPr>
        <w:t>平台用户</w:t>
      </w:r>
      <w:r>
        <w:rPr>
          <w:b w:val="0"/>
          <w:bCs/>
        </w:rPr>
        <w:t>登录</w:t>
      </w:r>
      <w:bookmarkEnd w:id="17"/>
      <w:bookmarkEnd w:id="18"/>
      <w:bookmarkEnd w:id="19"/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点击【在线平台登录】进行登录，如下：</w:t>
      </w:r>
    </w:p>
    <w:p>
      <w:pPr>
        <w:pStyle w:val="39"/>
        <w:spacing w:line="240" w:lineRule="auto"/>
        <w:ind w:firstLine="0" w:firstLineChars="0"/>
        <w:jc w:val="center"/>
      </w:pPr>
      <w:r>
        <w:drawing>
          <wp:inline distT="0" distB="0" distL="0" distR="0">
            <wp:extent cx="5756910" cy="278955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9"/>
        <w:spacing w:line="600" w:lineRule="exact"/>
        <w:ind w:firstLine="0" w:firstLineChars="0"/>
        <w:jc w:val="center"/>
      </w:pPr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弹出登录页，输入用户名、密码以及验证码，点击“登录”。</w:t>
      </w:r>
    </w:p>
    <w:p>
      <w:pPr>
        <w:pStyle w:val="39"/>
        <w:spacing w:line="240" w:lineRule="auto"/>
        <w:ind w:firstLine="0" w:firstLineChars="0"/>
        <w:jc w:val="center"/>
      </w:pPr>
      <w:r>
        <w:drawing>
          <wp:inline distT="0" distB="0" distL="0" distR="0">
            <wp:extent cx="5262245" cy="261239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jc w:val="left"/>
      </w:pPr>
      <w:r>
        <w:br w:type="page"/>
      </w:r>
    </w:p>
    <w:p>
      <w:pPr>
        <w:pStyle w:val="41"/>
        <w:numPr>
          <w:ilvl w:val="0"/>
          <w:numId w:val="1"/>
        </w:numPr>
        <w:rPr>
          <w:b w:val="0"/>
          <w:bCs/>
        </w:rPr>
      </w:pPr>
      <w:bookmarkStart w:id="20" w:name="_Toc176973698"/>
      <w:bookmarkStart w:id="21" w:name="_Toc177669818"/>
      <w:r>
        <w:rPr>
          <w:rFonts w:hint="eastAsia"/>
          <w:b w:val="0"/>
          <w:bCs/>
        </w:rPr>
        <w:t>自治区工程研究中心申报与评价系统</w:t>
      </w:r>
      <w:bookmarkEnd w:id="20"/>
      <w:bookmarkEnd w:id="21"/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业主可通过如下两种方式进入自治区工程研究中心申报与评价系统。</w:t>
      </w:r>
    </w:p>
    <w:p>
      <w:pPr>
        <w:spacing w:line="600" w:lineRule="exact"/>
        <w:ind w:firstLine="642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方式一：</w:t>
      </w:r>
      <w:r>
        <w:rPr>
          <w:rFonts w:hint="eastAsia" w:ascii="仿宋_GB2312" w:hAnsi="Times New Roman" w:eastAsia="仿宋_GB2312" w:cs="Times New Roman"/>
          <w:sz w:val="32"/>
          <w:szCs w:val="32"/>
        </w:rPr>
        <w:t>业主登录到系统，在系统首页点击【自治区工程研究中心】进入【工程研究中心申报与评价】页面进行申报或评价。</w:t>
      </w:r>
    </w:p>
    <w:p>
      <w:pPr>
        <w:pStyle w:val="29"/>
        <w:spacing w:line="240" w:lineRule="auto"/>
        <w:jc w:val="center"/>
        <w:rPr>
          <w:rFonts w:ascii="仿宋" w:hAnsi="仿宋" w:eastAsia="仿宋" w:cs="宋体"/>
          <w:snapToGrid/>
          <w:color w:val="3E3E3E"/>
          <w:kern w:val="0"/>
          <w:sz w:val="32"/>
          <w:szCs w:val="32"/>
        </w:rPr>
      </w:pPr>
      <w:r>
        <w:drawing>
          <wp:inline distT="0" distB="0" distL="0" distR="0">
            <wp:extent cx="5274310" cy="28263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2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方式二：</w:t>
      </w:r>
      <w:r>
        <w:rPr>
          <w:rFonts w:hint="eastAsia" w:ascii="仿宋_GB2312" w:hAnsi="Times New Roman" w:eastAsia="仿宋_GB2312" w:cs="Times New Roman"/>
          <w:sz w:val="32"/>
          <w:szCs w:val="32"/>
        </w:rPr>
        <w:t>业主登录到系统后，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进入</w:t>
      </w:r>
      <w:r>
        <w:rPr>
          <w:rFonts w:hint="eastAsia" w:ascii="仿宋_GB2312" w:hAnsi="Times New Roman" w:eastAsia="仿宋_GB2312" w:cs="Times New Roman"/>
          <w:sz w:val="32"/>
          <w:szCs w:val="32"/>
        </w:rPr>
        <w:t>【用户中心】-【工程研究中心申报与评价】页面进行申报或评价。</w:t>
      </w:r>
    </w:p>
    <w:p>
      <w:pPr>
        <w:pStyle w:val="29"/>
        <w:spacing w:line="240" w:lineRule="auto"/>
        <w:jc w:val="center"/>
        <w:rPr>
          <w:sz w:val="24"/>
          <w:szCs w:val="28"/>
        </w:rPr>
      </w:pPr>
      <w:r>
        <w:drawing>
          <wp:inline distT="0" distB="0" distL="0" distR="0">
            <wp:extent cx="5274310" cy="24295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spacing w:line="240" w:lineRule="auto"/>
        <w:jc w:val="center"/>
        <w:rPr>
          <w:sz w:val="24"/>
          <w:szCs w:val="28"/>
        </w:rPr>
      </w:pPr>
      <w:r>
        <w:drawing>
          <wp:inline distT="0" distB="0" distL="114300" distR="114300">
            <wp:extent cx="5128895" cy="2430780"/>
            <wp:effectExtent l="0" t="0" r="1905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1"/>
        <w:numPr>
          <w:ilvl w:val="1"/>
          <w:numId w:val="1"/>
        </w:numPr>
        <w:outlineLvl w:val="1"/>
        <w:rPr>
          <w:rFonts w:hint="eastAsia"/>
          <w:b w:val="0"/>
          <w:bCs/>
        </w:rPr>
      </w:pPr>
      <w:bookmarkStart w:id="22" w:name="_Toc177669819"/>
      <w:bookmarkStart w:id="23" w:name="_Toc176973699"/>
      <w:r>
        <w:rPr>
          <w:rFonts w:hint="eastAsia"/>
          <w:b w:val="0"/>
          <w:bCs/>
        </w:rPr>
        <w:t>自治区工程研究中心</w:t>
      </w:r>
      <w:r>
        <w:rPr>
          <w:rFonts w:hint="eastAsia"/>
          <w:b w:val="0"/>
          <w:bCs/>
          <w:lang w:eastAsia="zh-CN"/>
        </w:rPr>
        <w:t>（或</w:t>
      </w:r>
      <w:r>
        <w:rPr>
          <w:rFonts w:hint="eastAsia"/>
          <w:b w:val="0"/>
          <w:bCs/>
          <w:lang w:val="en-US" w:eastAsia="zh-CN"/>
        </w:rPr>
        <w:t>人工智能场景工程研究中心）</w:t>
      </w:r>
      <w:r>
        <w:rPr>
          <w:rFonts w:hint="eastAsia"/>
          <w:b w:val="0"/>
          <w:bCs/>
        </w:rPr>
        <w:t>申报</w:t>
      </w:r>
      <w:bookmarkEnd w:id="22"/>
      <w:bookmarkEnd w:id="23"/>
    </w:p>
    <w:p>
      <w:pPr>
        <w:pStyle w:val="41"/>
        <w:numPr>
          <w:ilvl w:val="2"/>
          <w:numId w:val="1"/>
        </w:numPr>
        <w:outlineLvl w:val="2"/>
        <w:rPr>
          <w:b w:val="0"/>
          <w:bCs/>
        </w:rPr>
      </w:pPr>
      <w:bookmarkStart w:id="24" w:name="_Toc177669820"/>
      <w:r>
        <w:rPr>
          <w:rFonts w:hint="eastAsia"/>
          <w:b w:val="0"/>
          <w:bCs/>
        </w:rPr>
        <w:t>新增申报</w:t>
      </w:r>
      <w:bookmarkEnd w:id="24"/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点击【新增申报】进入申报页面。依次按表单要求填写基本信息、依托单位、报告正文、附件及清单信息。</w:t>
      </w:r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color w:val="FF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FF0000"/>
          <w:sz w:val="32"/>
          <w:szCs w:val="32"/>
        </w:rPr>
        <w:t>注：填报过程中点击【保存草稿】可暂存工程研究中心信息，后续可继续修改信息；填报完毕点击【提交】按钮，工程研究中心申报信息将无法修改信息。</w:t>
      </w:r>
    </w:p>
    <w:p>
      <w:pPr>
        <w:pStyle w:val="29"/>
        <w:spacing w:line="240" w:lineRule="auto"/>
        <w:ind w:firstLine="0" w:firstLineChars="0"/>
        <w:jc w:val="center"/>
        <w:rPr>
          <w:rFonts w:ascii="仿宋" w:hAnsi="仿宋" w:eastAsia="仿宋" w:cs="宋体"/>
          <w:snapToGrid/>
          <w:color w:val="3E3E3E"/>
          <w:kern w:val="0"/>
          <w:sz w:val="32"/>
          <w:szCs w:val="32"/>
        </w:rPr>
      </w:pPr>
      <w:r>
        <w:drawing>
          <wp:inline distT="0" distB="0" distL="0" distR="0">
            <wp:extent cx="5274310" cy="23558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spacing w:line="240" w:lineRule="auto"/>
        <w:ind w:firstLine="0" w:firstLineChars="0"/>
      </w:pPr>
    </w:p>
    <w:p>
      <w:pPr>
        <w:pStyle w:val="29"/>
        <w:spacing w:line="240" w:lineRule="auto"/>
        <w:ind w:firstLine="0" w:firstLineChars="0"/>
        <w:jc w:val="center"/>
      </w:pPr>
      <w:r>
        <w:drawing>
          <wp:inline distT="0" distB="0" distL="0" distR="0">
            <wp:extent cx="5274310" cy="4645025"/>
            <wp:effectExtent l="0" t="0" r="2540" b="317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spacing w:line="240" w:lineRule="auto"/>
        <w:ind w:firstLine="0" w:firstLineChars="0"/>
        <w:jc w:val="center"/>
      </w:pPr>
      <w:r>
        <w:drawing>
          <wp:inline distT="0" distB="0" distL="0" distR="0">
            <wp:extent cx="5274310" cy="214947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spacing w:line="240" w:lineRule="auto"/>
        <w:ind w:firstLine="0" w:firstLineChars="0"/>
      </w:pPr>
    </w:p>
    <w:p>
      <w:pPr>
        <w:pStyle w:val="29"/>
        <w:spacing w:line="240" w:lineRule="auto"/>
        <w:ind w:firstLine="0" w:firstLineChars="0"/>
        <w:jc w:val="center"/>
      </w:pPr>
      <w:r>
        <w:drawing>
          <wp:inline distT="0" distB="0" distL="0" distR="0">
            <wp:extent cx="5274310" cy="138684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spacing w:line="240" w:lineRule="auto"/>
        <w:ind w:firstLine="0" w:firstLineChars="0"/>
        <w:jc w:val="center"/>
      </w:pPr>
      <w:r>
        <w:drawing>
          <wp:inline distT="0" distB="0" distL="0" distR="0">
            <wp:extent cx="5274310" cy="13398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ind w:firstLine="420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保存草稿：</w:t>
      </w:r>
      <w:r>
        <w:rPr>
          <w:rFonts w:hint="eastAsia" w:ascii="仿宋_GB2312" w:eastAsia="仿宋_GB2312"/>
          <w:sz w:val="32"/>
          <w:szCs w:val="32"/>
        </w:rPr>
        <w:t>填报过程中点击【保存草稿】可暂存工程研究中心信息，该工程研究中心申报数据为“草稿”状态，后续可继续修改信息。</w:t>
      </w:r>
    </w:p>
    <w:p>
      <w:pPr>
        <w:widowControl/>
        <w:jc w:val="center"/>
        <w:rPr>
          <w:rFonts w:ascii="黑体" w:hAnsi="黑体" w:eastAsia="黑体" w:cs="Times New Roman"/>
          <w:b/>
          <w:bCs/>
          <w:kern w:val="0"/>
          <w:sz w:val="32"/>
          <w:szCs w:val="32"/>
        </w:rPr>
      </w:pPr>
      <w:r>
        <w:drawing>
          <wp:inline distT="0" distB="0" distL="0" distR="0">
            <wp:extent cx="5274310" cy="240665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黑体" w:hAnsi="黑体" w:eastAsia="黑体" w:cs="Times New Roman"/>
          <w:b/>
          <w:bCs/>
          <w:kern w:val="0"/>
          <w:sz w:val="32"/>
          <w:szCs w:val="32"/>
        </w:rPr>
      </w:pPr>
    </w:p>
    <w:p>
      <w:pPr>
        <w:widowControl/>
        <w:ind w:firstLine="42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 w:cs="Times New Roman"/>
          <w:b w:val="0"/>
          <w:bCs w:val="0"/>
          <w:kern w:val="0"/>
          <w:sz w:val="32"/>
          <w:szCs w:val="32"/>
        </w:rPr>
        <w:t>提交：</w:t>
      </w:r>
      <w:r>
        <w:rPr>
          <w:rFonts w:hint="eastAsia" w:ascii="仿宋_GB2312" w:hAnsi="Times New Roman" w:eastAsia="仿宋_GB2312" w:cs="Times New Roman"/>
          <w:sz w:val="32"/>
          <w:szCs w:val="32"/>
        </w:rPr>
        <w:t>填报完毕点击【提交】按钮，该工程研究中心申报数据为“待初审”状态，业主用户将无法修改信息。若需进行修改，可联系后台审批人员将该数据做“初审不通过”处理。</w:t>
      </w:r>
    </w:p>
    <w:p>
      <w:pPr>
        <w:jc w:val="center"/>
      </w:pPr>
      <w:r>
        <w:drawing>
          <wp:inline distT="0" distB="0" distL="0" distR="0">
            <wp:extent cx="5274310" cy="2399030"/>
            <wp:effectExtent l="0" t="0" r="254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1"/>
        <w:numPr>
          <w:ilvl w:val="2"/>
          <w:numId w:val="1"/>
        </w:numPr>
        <w:outlineLvl w:val="2"/>
        <w:rPr>
          <w:b w:val="0"/>
          <w:bCs/>
        </w:rPr>
      </w:pPr>
      <w:bookmarkStart w:id="25" w:name="_Toc177669821"/>
      <w:r>
        <w:rPr>
          <w:rFonts w:hint="eastAsia"/>
          <w:b w:val="0"/>
          <w:bCs/>
        </w:rPr>
        <w:t>查询</w:t>
      </w:r>
      <w:bookmarkEnd w:id="25"/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进入【工程研究中心申报】页面。显示当前业主申报的所有工程研究中心列表。支持按工程研究中心、审核状态查询。</w:t>
      </w:r>
    </w:p>
    <w:p>
      <w:pPr>
        <w:widowControl/>
        <w:ind w:firstLine="480"/>
        <w:jc w:val="center"/>
        <w:rPr>
          <w:rFonts w:ascii="仿宋" w:hAnsi="仿宋" w:eastAsia="仿宋" w:cs="宋体"/>
          <w:color w:val="3E3E3E"/>
          <w:kern w:val="0"/>
          <w:sz w:val="32"/>
          <w:szCs w:val="32"/>
        </w:rPr>
      </w:pPr>
      <w:r>
        <w:drawing>
          <wp:inline distT="0" distB="0" distL="0" distR="0">
            <wp:extent cx="5274310" cy="226568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ind w:firstLine="480"/>
        <w:rPr>
          <w:rFonts w:ascii="仿宋" w:hAnsi="仿宋" w:eastAsia="仿宋" w:cs="宋体"/>
          <w:color w:val="3E3E3E"/>
          <w:kern w:val="0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点击【查看】按钮，可查询到该工程研究中心详细信息。</w:t>
      </w:r>
    </w:p>
    <w:p>
      <w:pPr>
        <w:widowControl/>
        <w:ind w:firstLine="480"/>
        <w:jc w:val="center"/>
        <w:rPr>
          <w:rFonts w:ascii="仿宋" w:hAnsi="仿宋" w:eastAsia="仿宋" w:cs="宋体"/>
          <w:color w:val="3E3E3E"/>
          <w:kern w:val="0"/>
          <w:sz w:val="32"/>
          <w:szCs w:val="32"/>
        </w:rPr>
      </w:pPr>
      <w:r>
        <w:drawing>
          <wp:inline distT="0" distB="0" distL="0" distR="0">
            <wp:extent cx="5274310" cy="218376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center"/>
        <w:rPr>
          <w:rFonts w:ascii="仿宋" w:hAnsi="仿宋" w:eastAsia="仿宋" w:cs="宋体"/>
          <w:color w:val="3E3E3E"/>
          <w:kern w:val="0"/>
          <w:sz w:val="32"/>
          <w:szCs w:val="32"/>
        </w:rPr>
      </w:pPr>
      <w:r>
        <w:drawing>
          <wp:inline distT="0" distB="0" distL="0" distR="0">
            <wp:extent cx="5274310" cy="248920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ind w:firstLine="480"/>
        <w:rPr>
          <w:rFonts w:ascii="仿宋" w:hAnsi="仿宋" w:eastAsia="仿宋" w:cs="宋体"/>
          <w:color w:val="3E3E3E"/>
          <w:kern w:val="0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点击【审核意见】按钮，可查看该工程研究中心审核信息。</w:t>
      </w:r>
    </w:p>
    <w:p>
      <w:pPr>
        <w:ind w:firstLine="420" w:firstLineChars="200"/>
        <w:jc w:val="center"/>
        <w:rPr>
          <w:rFonts w:ascii="仿宋_GB2312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51003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center"/>
        <w:rPr>
          <w:rFonts w:ascii="仿宋" w:hAnsi="仿宋" w:eastAsia="仿宋" w:cs="宋体"/>
          <w:color w:val="3E3E3E"/>
          <w:kern w:val="0"/>
          <w:sz w:val="32"/>
          <w:szCs w:val="32"/>
        </w:rPr>
      </w:pPr>
      <w:r>
        <w:drawing>
          <wp:inline distT="0" distB="0" distL="0" distR="0">
            <wp:extent cx="5274310" cy="194754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1"/>
        <w:numPr>
          <w:ilvl w:val="2"/>
          <w:numId w:val="1"/>
        </w:numPr>
        <w:outlineLvl w:val="2"/>
        <w:rPr>
          <w:b w:val="0"/>
          <w:bCs/>
        </w:rPr>
      </w:pPr>
      <w:bookmarkStart w:id="26" w:name="_Toc177669822"/>
      <w:r>
        <w:rPr>
          <w:rFonts w:hint="eastAsia"/>
          <w:b w:val="0"/>
          <w:bCs/>
        </w:rPr>
        <w:t>修改</w:t>
      </w:r>
      <w:bookmarkEnd w:id="26"/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处于</w:t>
      </w:r>
      <w:r>
        <w:rPr>
          <w:rFonts w:hint="eastAsia" w:ascii="仿宋_GB2312" w:hAnsi="Times New Roman" w:eastAsia="仿宋_GB2312" w:cs="Times New Roman"/>
          <w:sz w:val="32"/>
          <w:szCs w:val="32"/>
        </w:rPr>
        <w:t>“草稿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”“</w:t>
      </w:r>
      <w:r>
        <w:rPr>
          <w:rFonts w:hint="eastAsia" w:ascii="仿宋_GB2312" w:hAnsi="Times New Roman" w:eastAsia="仿宋_GB2312" w:cs="Times New Roman"/>
          <w:sz w:val="32"/>
          <w:szCs w:val="32"/>
        </w:rPr>
        <w:t>初审不通过”状态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，</w:t>
      </w:r>
      <w:r>
        <w:rPr>
          <w:rFonts w:hint="eastAsia" w:ascii="仿宋_GB2312" w:hAnsi="Times New Roman" w:eastAsia="仿宋_GB2312" w:cs="Times New Roman"/>
          <w:sz w:val="32"/>
          <w:szCs w:val="32"/>
        </w:rPr>
        <w:t>申报数据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可以</w:t>
      </w:r>
      <w:r>
        <w:rPr>
          <w:rFonts w:hint="eastAsia" w:ascii="仿宋_GB2312" w:hAnsi="Times New Roman" w:eastAsia="仿宋_GB2312" w:cs="Times New Roman"/>
          <w:sz w:val="32"/>
          <w:szCs w:val="32"/>
        </w:rPr>
        <w:t>修改。</w:t>
      </w:r>
    </w:p>
    <w:p>
      <w:pPr>
        <w:ind w:firstLine="210" w:firstLineChars="100"/>
        <w:jc w:val="center"/>
        <w:rPr>
          <w:rFonts w:ascii="仿宋" w:hAnsi="仿宋" w:eastAsia="仿宋" w:cs="宋体"/>
          <w:color w:val="3E3E3E"/>
          <w:kern w:val="0"/>
          <w:sz w:val="32"/>
          <w:szCs w:val="32"/>
        </w:rPr>
      </w:pPr>
      <w:r>
        <w:drawing>
          <wp:inline distT="0" distB="0" distL="0" distR="0">
            <wp:extent cx="5274310" cy="11455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center"/>
        <w:rPr>
          <w:rFonts w:ascii="仿宋" w:hAnsi="仿宋" w:eastAsia="仿宋" w:cs="宋体"/>
          <w:color w:val="3E3E3E"/>
          <w:kern w:val="0"/>
          <w:sz w:val="32"/>
          <w:szCs w:val="32"/>
        </w:rPr>
      </w:pPr>
      <w:r>
        <w:drawing>
          <wp:inline distT="0" distB="0" distL="0" distR="0">
            <wp:extent cx="5274310" cy="1020445"/>
            <wp:effectExtent l="0" t="0" r="2540" b="825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1"/>
        <w:numPr>
          <w:ilvl w:val="2"/>
          <w:numId w:val="1"/>
        </w:numPr>
        <w:outlineLvl w:val="2"/>
        <w:rPr>
          <w:b w:val="0"/>
          <w:bCs/>
        </w:rPr>
      </w:pPr>
      <w:bookmarkStart w:id="27" w:name="_Toc177669823"/>
      <w:r>
        <w:rPr>
          <w:rFonts w:hint="eastAsia"/>
          <w:b w:val="0"/>
          <w:bCs/>
        </w:rPr>
        <w:t>删除</w:t>
      </w:r>
      <w:bookmarkEnd w:id="27"/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通过【保存草稿】暂存的工程研究中心信息，该工程研究中心申报数据为“草稿”状态，支持对该数据进行删除处理。</w:t>
      </w:r>
    </w:p>
    <w:p>
      <w:pPr>
        <w:pStyle w:val="29"/>
        <w:spacing w:line="240" w:lineRule="auto"/>
        <w:ind w:firstLine="0" w:firstLineChars="0"/>
        <w:jc w:val="center"/>
      </w:pPr>
      <w:r>
        <w:drawing>
          <wp:inline distT="0" distB="0" distL="0" distR="0">
            <wp:extent cx="5274310" cy="1496060"/>
            <wp:effectExtent l="0" t="0" r="2540" b="88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1"/>
        <w:numPr>
          <w:ilvl w:val="1"/>
          <w:numId w:val="1"/>
        </w:numPr>
        <w:outlineLvl w:val="1"/>
        <w:rPr>
          <w:b w:val="0"/>
          <w:bCs/>
        </w:rPr>
      </w:pPr>
      <w:bookmarkStart w:id="28" w:name="_Toc177669824"/>
      <w:bookmarkStart w:id="29" w:name="_Toc176973702"/>
      <w:r>
        <w:rPr>
          <w:rFonts w:hint="eastAsia"/>
          <w:b w:val="0"/>
          <w:bCs/>
        </w:rPr>
        <w:t>自治区工程研究中心评价</w:t>
      </w:r>
      <w:bookmarkEnd w:id="28"/>
      <w:bookmarkEnd w:id="29"/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业主对之前线下申报的自治区工程研究中心进行评价时，需先在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32"/>
          <w:szCs w:val="32"/>
        </w:rPr>
        <w:t>申报平台模块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对已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32"/>
          <w:szCs w:val="32"/>
        </w:rPr>
        <w:t>获批工程研究中心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的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32"/>
          <w:szCs w:val="32"/>
        </w:rPr>
        <w:t>基本信息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进行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32"/>
          <w:szCs w:val="32"/>
        </w:rPr>
        <w:t>补录</w:t>
      </w:r>
      <w:r>
        <w:rPr>
          <w:rFonts w:hint="eastAsia" w:ascii="仿宋_GB2312" w:hAnsi="Times New Roman" w:eastAsia="仿宋_GB2312" w:cs="Times New Roman"/>
          <w:b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Times New Roman" w:eastAsia="仿宋_GB2312" w:cs="Times New Roman"/>
          <w:sz w:val="32"/>
          <w:szCs w:val="32"/>
          <w:u w:val="single"/>
        </w:rPr>
        <w:t>对已获批工程研究中心的基本信息补录时，研发成果、成果转化、研发投入、平台支撑、人才培养各子项信息可填0</w:t>
      </w:r>
      <w:r>
        <w:rPr>
          <w:rFonts w:hint="eastAsia" w:ascii="仿宋_GB2312" w:hAnsi="Times New Roman" w:eastAsia="仿宋_GB2312" w:cs="Times New Roman"/>
          <w:sz w:val="32"/>
          <w:szCs w:val="32"/>
          <w:u w:val="single"/>
          <w:lang w:eastAsia="zh-CN"/>
        </w:rPr>
        <w:t>，</w:t>
      </w:r>
      <w:r>
        <w:rPr>
          <w:rFonts w:hint="eastAsia" w:ascii="仿宋_GB2312" w:hAnsi="Times New Roman" w:eastAsia="仿宋_GB2312" w:cs="Times New Roman"/>
          <w:sz w:val="32"/>
          <w:szCs w:val="32"/>
          <w:u w:val="single"/>
        </w:rPr>
        <w:t>报告正文、附件及清单信息</w:t>
      </w:r>
      <w:r>
        <w:rPr>
          <w:rFonts w:hint="eastAsia" w:ascii="仿宋_GB2312" w:hAnsi="Times New Roman" w:eastAsia="仿宋_GB2312" w:cs="Times New Roman"/>
          <w:sz w:val="32"/>
          <w:szCs w:val="32"/>
          <w:u w:val="single"/>
          <w:lang w:val="en-US" w:eastAsia="zh-CN"/>
        </w:rPr>
        <w:t>可不添加</w:t>
      </w:r>
      <w:r>
        <w:rPr>
          <w:rFonts w:hint="eastAsia" w:ascii="仿宋_GB2312" w:hAnsi="Times New Roman" w:eastAsia="仿宋_GB2312" w:cs="Times New Roman"/>
          <w:b/>
          <w:bCs/>
          <w:color w:val="auto"/>
          <w:sz w:val="32"/>
          <w:szCs w:val="32"/>
          <w:u w:val="single"/>
          <w:lang w:eastAsia="zh-CN"/>
        </w:rPr>
        <w:t>）</w:t>
      </w:r>
      <w:r>
        <w:rPr>
          <w:rFonts w:hint="eastAsia" w:ascii="仿宋_GB2312" w:hAnsi="Times New Roman" w:eastAsia="仿宋_GB2312" w:cs="Times New Roman"/>
          <w:color w:val="auto"/>
          <w:sz w:val="32"/>
          <w:szCs w:val="32"/>
        </w:rPr>
        <w:t>，</w:t>
      </w:r>
      <w:r>
        <w:rPr>
          <w:rFonts w:hint="eastAsia" w:ascii="仿宋_GB2312" w:hAnsi="Times New Roman" w:eastAsia="仿宋_GB2312" w:cs="Times New Roman"/>
          <w:sz w:val="32"/>
          <w:szCs w:val="32"/>
        </w:rPr>
        <w:t>补录流程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参</w:t>
      </w:r>
      <w:r>
        <w:rPr>
          <w:rFonts w:hint="eastAsia" w:ascii="仿宋_GB2312" w:hAnsi="Times New Roman" w:eastAsia="仿宋_GB2312" w:cs="Times New Roman"/>
          <w:sz w:val="32"/>
          <w:szCs w:val="32"/>
        </w:rPr>
        <w:t>见</w:t>
      </w:r>
      <w:r>
        <w:rPr>
          <w:rFonts w:ascii="仿宋_GB2312" w:hAnsi="Times New Roman" w:eastAsia="仿宋_GB2312" w:cs="Times New Roman"/>
          <w:sz w:val="32"/>
          <w:szCs w:val="32"/>
        </w:rPr>
        <w:t>4</w:t>
      </w:r>
      <w:r>
        <w:rPr>
          <w:rFonts w:hint="eastAsia" w:ascii="仿宋_GB2312" w:hAnsi="Times New Roman" w:eastAsia="仿宋_GB2312" w:cs="Times New Roman"/>
          <w:sz w:val="32"/>
          <w:szCs w:val="32"/>
        </w:rPr>
        <w:t>.1自治区工程研究中心申报。</w:t>
      </w:r>
    </w:p>
    <w:p>
      <w:pPr>
        <w:pStyle w:val="41"/>
        <w:numPr>
          <w:ilvl w:val="2"/>
          <w:numId w:val="1"/>
        </w:numPr>
        <w:outlineLvl w:val="2"/>
        <w:rPr>
          <w:b w:val="0"/>
          <w:bCs/>
        </w:rPr>
      </w:pPr>
      <w:bookmarkStart w:id="30" w:name="_Toc177669825"/>
      <w:r>
        <w:rPr>
          <w:rFonts w:hint="eastAsia"/>
          <w:b w:val="0"/>
          <w:bCs/>
        </w:rPr>
        <w:t>新增评价</w:t>
      </w:r>
      <w:bookmarkEnd w:id="30"/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点击【新增评价】按钮，打开已申报的工程研究中心申报信息。</w:t>
      </w:r>
    </w:p>
    <w:p>
      <w:pPr>
        <w:ind w:firstLine="420" w:firstLineChars="200"/>
        <w:jc w:val="center"/>
        <w:rPr>
          <w:rFonts w:ascii="仿宋_GB2312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884045"/>
            <wp:effectExtent l="0" t="0" r="2540" b="190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ascii="仿宋_GB2312" w:hAnsi="Times New Roman" w:eastAsia="仿宋_GB2312" w:cs="Times New Roman"/>
          <w:sz w:val="32"/>
          <w:szCs w:val="32"/>
        </w:rPr>
        <w:drawing>
          <wp:inline distT="0" distB="0" distL="0" distR="0">
            <wp:extent cx="5274310" cy="219837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选择需要进行评价的工程研究中心，进入评价页面。依次按照表单填写基本信息、依托单位、报告正文、附件及清单信息。</w:t>
      </w:r>
    </w:p>
    <w:p>
      <w:pPr>
        <w:ind w:firstLine="420" w:firstLineChars="200"/>
        <w:jc w:val="center"/>
        <w:rPr>
          <w:rFonts w:ascii="仿宋_GB2312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77482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</w:p>
    <w:p>
      <w:pPr>
        <w:ind w:firstLine="420" w:firstLineChars="200"/>
        <w:jc w:val="center"/>
        <w:rPr>
          <w:rFonts w:ascii="仿宋_GB2312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28854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</w:p>
    <w:p>
      <w:pPr>
        <w:ind w:firstLine="420" w:firstLineChars="200"/>
        <w:jc w:val="center"/>
        <w:rPr>
          <w:rFonts w:ascii="仿宋_GB2312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2146300"/>
            <wp:effectExtent l="0" t="0" r="2540" b="63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</w:p>
    <w:p>
      <w:pPr>
        <w:ind w:firstLine="420" w:firstLineChars="200"/>
        <w:jc w:val="center"/>
        <w:rPr>
          <w:rFonts w:ascii="仿宋_GB2312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289050"/>
            <wp:effectExtent l="0" t="0" r="254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="仿宋_GB2312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291590"/>
            <wp:effectExtent l="0" t="0" r="254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黑体" w:hAnsi="黑体" w:eastAsia="黑体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保存草稿：</w:t>
      </w:r>
      <w:r>
        <w:rPr>
          <w:rFonts w:hint="eastAsia" w:ascii="仿宋_GB2312" w:hAnsi="Times New Roman" w:eastAsia="仿宋_GB2312" w:cs="Times New Roman"/>
          <w:sz w:val="32"/>
          <w:szCs w:val="32"/>
        </w:rPr>
        <w:t>填报过程中点击【保存草稿】可暂存工程研究中心评价信息，该工程研究中心评价数据为“草稿”状态，后续可继续修改信息。</w:t>
      </w:r>
    </w:p>
    <w:p>
      <w:pPr>
        <w:ind w:firstLine="420" w:firstLineChars="200"/>
        <w:jc w:val="center"/>
        <w:rPr>
          <w:rFonts w:ascii="仿宋_GB2312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35382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/>
          <w:b w:val="0"/>
          <w:bCs w:val="0"/>
          <w:sz w:val="32"/>
          <w:szCs w:val="32"/>
        </w:rPr>
        <w:t>提交</w:t>
      </w:r>
      <w:r>
        <w:rPr>
          <w:rFonts w:hint="eastAsia" w:ascii="黑体" w:hAnsi="黑体" w:eastAsia="黑体"/>
          <w:b w:val="0"/>
          <w:bCs w:val="0"/>
          <w:sz w:val="32"/>
          <w:szCs w:val="32"/>
          <w:lang w:eastAsia="zh-CN"/>
        </w:rPr>
        <w:t>：</w:t>
      </w:r>
      <w:r>
        <w:rPr>
          <w:rFonts w:hint="eastAsia" w:ascii="仿宋_GB2312" w:hAnsi="Times New Roman" w:eastAsia="仿宋_GB2312" w:cs="Times New Roman"/>
          <w:sz w:val="32"/>
          <w:szCs w:val="32"/>
        </w:rPr>
        <w:t>填报完毕点击【提交】按钮，该工程研究中心评价数据为“待初审”状态，业主用户将无法修改信息。若需进行修改，可联系后台审批人员将该评价数据做“初审不通过”处理。</w:t>
      </w:r>
    </w:p>
    <w:p>
      <w:pPr>
        <w:ind w:firstLine="420" w:firstLineChars="200"/>
        <w:jc w:val="center"/>
        <w:rPr>
          <w:rFonts w:ascii="仿宋_GB2312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363980"/>
            <wp:effectExtent l="0" t="0" r="2540" b="76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1"/>
        <w:numPr>
          <w:ilvl w:val="2"/>
          <w:numId w:val="1"/>
        </w:numPr>
        <w:outlineLvl w:val="2"/>
        <w:rPr>
          <w:b w:val="0"/>
          <w:bCs/>
        </w:rPr>
      </w:pPr>
      <w:bookmarkStart w:id="31" w:name="_Toc177669826"/>
      <w:r>
        <w:rPr>
          <w:rFonts w:hint="eastAsia"/>
          <w:b w:val="0"/>
          <w:bCs/>
        </w:rPr>
        <w:t>查询</w:t>
      </w:r>
      <w:bookmarkEnd w:id="31"/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切换到【工程研究中心评价】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页面</w:t>
      </w:r>
      <w:r>
        <w:rPr>
          <w:rFonts w:hint="eastAsia" w:ascii="仿宋_GB2312" w:hAnsi="Times New Roman" w:eastAsia="仿宋_GB2312" w:cs="Times New Roman"/>
          <w:sz w:val="32"/>
          <w:szCs w:val="32"/>
        </w:rPr>
        <w:t>，可管理该登录账号下的评价数据，包括“查看”，“编辑”以及“删除”。支持按工程研究中心、审核状态查询提交的评价信息。</w:t>
      </w:r>
    </w:p>
    <w:p>
      <w:pPr>
        <w:ind w:firstLine="420" w:firstLineChars="200"/>
        <w:jc w:val="center"/>
        <w:rPr>
          <w:rFonts w:ascii="仿宋_GB2312" w:hAnsi="Times New Roman" w:eastAsia="仿宋_GB2312" w:cs="Times New Roman"/>
          <w:sz w:val="32"/>
          <w:szCs w:val="32"/>
        </w:rPr>
      </w:pPr>
      <w:r>
        <w:drawing>
          <wp:inline distT="0" distB="0" distL="0" distR="0">
            <wp:extent cx="5274310" cy="196723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spacing w:line="240" w:lineRule="auto"/>
        <w:ind w:firstLine="0" w:firstLineChars="0"/>
        <w:rPr>
          <w:sz w:val="24"/>
          <w:szCs w:val="28"/>
        </w:rPr>
      </w:pPr>
    </w:p>
    <w:p>
      <w:pPr>
        <w:pStyle w:val="41"/>
        <w:numPr>
          <w:ilvl w:val="2"/>
          <w:numId w:val="1"/>
        </w:numPr>
        <w:outlineLvl w:val="2"/>
        <w:rPr>
          <w:b w:val="0"/>
          <w:bCs/>
        </w:rPr>
      </w:pPr>
      <w:bookmarkStart w:id="32" w:name="_Toc177669827"/>
      <w:r>
        <w:rPr>
          <w:rFonts w:hint="eastAsia"/>
          <w:b w:val="0"/>
          <w:bCs/>
        </w:rPr>
        <w:t>修改</w:t>
      </w:r>
      <w:bookmarkEnd w:id="32"/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 xml:space="preserve"> 支持对“草稿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”“</w:t>
      </w:r>
      <w:r>
        <w:rPr>
          <w:rFonts w:hint="eastAsia" w:ascii="仿宋_GB2312" w:hAnsi="Times New Roman" w:eastAsia="仿宋_GB2312" w:cs="Times New Roman"/>
          <w:sz w:val="32"/>
          <w:szCs w:val="32"/>
        </w:rPr>
        <w:t>初审不通过”的状态工程研究中心评价数据进行修改。</w:t>
      </w:r>
    </w:p>
    <w:p>
      <w:pPr>
        <w:widowControl/>
        <w:jc w:val="center"/>
        <w:rPr>
          <w:rFonts w:ascii="仿宋" w:hAnsi="仿宋" w:eastAsia="仿宋" w:cs="宋体"/>
          <w:color w:val="3E3E3E"/>
          <w:kern w:val="0"/>
          <w:sz w:val="32"/>
          <w:szCs w:val="32"/>
        </w:rPr>
      </w:pPr>
      <w:r>
        <w:drawing>
          <wp:inline distT="0" distB="0" distL="0" distR="0">
            <wp:extent cx="5274310" cy="164528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宋体"/>
          <w:color w:val="3E3E3E"/>
          <w:kern w:val="0"/>
          <w:sz w:val="32"/>
          <w:szCs w:val="32"/>
        </w:rPr>
      </w:pPr>
      <w:r>
        <w:drawing>
          <wp:inline distT="0" distB="0" distL="0" distR="0">
            <wp:extent cx="5274310" cy="1091565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1"/>
        <w:numPr>
          <w:ilvl w:val="2"/>
          <w:numId w:val="1"/>
        </w:numPr>
        <w:outlineLvl w:val="2"/>
        <w:rPr>
          <w:b w:val="0"/>
          <w:bCs/>
        </w:rPr>
      </w:pPr>
      <w:bookmarkStart w:id="33" w:name="_Toc177669828"/>
      <w:r>
        <w:rPr>
          <w:rFonts w:hint="eastAsia"/>
          <w:b w:val="0"/>
          <w:bCs/>
        </w:rPr>
        <w:t>删除</w:t>
      </w:r>
      <w:bookmarkEnd w:id="33"/>
    </w:p>
    <w:p>
      <w:pPr>
        <w:spacing w:line="60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通过【保存草稿】暂存的工程研究中心评价数据，该工程研究中心评价数据为“草稿”状态，支持对该数据进行删除处理。</w:t>
      </w:r>
    </w:p>
    <w:p>
      <w:pPr>
        <w:pStyle w:val="29"/>
        <w:spacing w:line="240" w:lineRule="auto"/>
        <w:ind w:firstLine="0" w:firstLineChars="0"/>
        <w:jc w:val="center"/>
      </w:pPr>
      <w:r>
        <w:drawing>
          <wp:inline distT="0" distB="0" distL="0" distR="0">
            <wp:extent cx="5274310" cy="160147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jc w:val="left"/>
      </w:pPr>
      <w:r>
        <w:br w:type="page"/>
      </w:r>
    </w:p>
    <w:p>
      <w:pPr>
        <w:pStyle w:val="41"/>
        <w:numPr>
          <w:ilvl w:val="0"/>
          <w:numId w:val="1"/>
        </w:numPr>
        <w:rPr>
          <w:b w:val="0"/>
          <w:bCs/>
        </w:rPr>
      </w:pPr>
      <w:bookmarkStart w:id="34" w:name="_Toc177669829"/>
      <w:r>
        <w:rPr>
          <w:rFonts w:hint="eastAsia"/>
          <w:b w:val="0"/>
          <w:bCs/>
        </w:rPr>
        <w:t>技术支持</w:t>
      </w:r>
      <w:bookmarkEnd w:id="34"/>
    </w:p>
    <w:p>
      <w:pPr>
        <w:pStyle w:val="29"/>
        <w:spacing w:line="600" w:lineRule="exact"/>
        <w:ind w:firstLine="640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 w:bidi="ar-SA"/>
        </w:rPr>
        <w:t>平台账号注册、登录问题，请联系门户技术支持0771-2270569。</w:t>
      </w:r>
      <w:bookmarkStart w:id="35" w:name="_GoBack"/>
      <w:bookmarkEnd w:id="35"/>
    </w:p>
    <w:p>
      <w:pPr>
        <w:pStyle w:val="29"/>
        <w:spacing w:line="600" w:lineRule="exact"/>
        <w:ind w:firstLine="640"/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snapToGrid/>
          <w:kern w:val="2"/>
          <w:sz w:val="32"/>
          <w:szCs w:val="32"/>
          <w:lang w:val="en-US" w:eastAsia="zh-CN" w:bidi="ar-SA"/>
        </w:rPr>
        <w:t>自治区工程研究中心（或自治区人工智能场景工程研究中心申报）与评价填报中遇到操作问题，可联系系统技术支持19162300787。</w:t>
      </w:r>
    </w:p>
    <w:p>
      <w:pPr>
        <w:pStyle w:val="29"/>
        <w:spacing w:line="600" w:lineRule="exact"/>
        <w:ind w:firstLine="640"/>
        <w:rPr>
          <w:rFonts w:ascii="仿宋" w:hAnsi="仿宋" w:eastAsia="仿宋" w:cs="宋体"/>
          <w:snapToGrid/>
          <w:color w:val="3E3E3E"/>
          <w:kern w:val="0"/>
          <w:sz w:val="32"/>
          <w:szCs w:val="32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方正书宋_GBK">
    <w:altName w:val="方正宋体S-超大字符集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思源黑体 CN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思源黑体 CN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Arial">
    <w:altName w:val="DejaVu Sans"/>
    <w:panose1 w:val="020B0604020202020204"/>
    <w:charset w:val="01"/>
    <w:family w:val="swiss"/>
    <w:pitch w:val="default"/>
    <w:sig w:usb0="00000000" w:usb1="00000000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中宋">
    <w:altName w:val="方正宋体S-超大字符集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PingFangSC-Regular">
    <w:altName w:val="仿宋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DejaVu Sans">
    <w:panose1 w:val="020B0603030804020204"/>
    <w:charset w:val="CC"/>
    <w:family w:val="roman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27193752"/>
    </w:sdtPr>
    <w:sdtContent>
      <w:p>
        <w:pPr>
          <w:pStyle w:val="13"/>
          <w:jc w:val="center"/>
        </w:pPr>
      </w:p>
    </w:sdtContent>
  </w:sdt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</w:pPr>
  </w:p>
  <w:p>
    <w:pPr>
      <w:pStyle w:val="1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  <w:p>
    <w:pPr>
      <w:pStyle w:val="1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E37A3"/>
    <w:multiLevelType w:val="multilevel"/>
    <w:tmpl w:val="68AE37A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suff w:val="nothing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suff w:val="nothing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8D7C43"/>
    <w:rsid w:val="00001832"/>
    <w:rsid w:val="00004D4E"/>
    <w:rsid w:val="00012AB8"/>
    <w:rsid w:val="000169F3"/>
    <w:rsid w:val="000172DA"/>
    <w:rsid w:val="00020072"/>
    <w:rsid w:val="00036F4E"/>
    <w:rsid w:val="00051D6F"/>
    <w:rsid w:val="00054067"/>
    <w:rsid w:val="00060F81"/>
    <w:rsid w:val="00070735"/>
    <w:rsid w:val="00071037"/>
    <w:rsid w:val="00074094"/>
    <w:rsid w:val="000835E2"/>
    <w:rsid w:val="000942EE"/>
    <w:rsid w:val="000956AD"/>
    <w:rsid w:val="000B1AF9"/>
    <w:rsid w:val="000B7CE3"/>
    <w:rsid w:val="000C19E1"/>
    <w:rsid w:val="000C3271"/>
    <w:rsid w:val="000C56B2"/>
    <w:rsid w:val="000D4B97"/>
    <w:rsid w:val="000F5967"/>
    <w:rsid w:val="0010443D"/>
    <w:rsid w:val="00104E60"/>
    <w:rsid w:val="00114710"/>
    <w:rsid w:val="00122578"/>
    <w:rsid w:val="0012325B"/>
    <w:rsid w:val="00123E65"/>
    <w:rsid w:val="001259E9"/>
    <w:rsid w:val="00126586"/>
    <w:rsid w:val="00127A4E"/>
    <w:rsid w:val="00131837"/>
    <w:rsid w:val="00135C7B"/>
    <w:rsid w:val="00137398"/>
    <w:rsid w:val="001434C9"/>
    <w:rsid w:val="001437DC"/>
    <w:rsid w:val="0015359C"/>
    <w:rsid w:val="001550AE"/>
    <w:rsid w:val="00155DA3"/>
    <w:rsid w:val="00164885"/>
    <w:rsid w:val="00164B44"/>
    <w:rsid w:val="001702B9"/>
    <w:rsid w:val="0017120B"/>
    <w:rsid w:val="00171A31"/>
    <w:rsid w:val="001733FE"/>
    <w:rsid w:val="00181055"/>
    <w:rsid w:val="001860DC"/>
    <w:rsid w:val="001A3CB1"/>
    <w:rsid w:val="001A616F"/>
    <w:rsid w:val="001B2FD4"/>
    <w:rsid w:val="001B3260"/>
    <w:rsid w:val="001B432A"/>
    <w:rsid w:val="001B670F"/>
    <w:rsid w:val="001C1D1C"/>
    <w:rsid w:val="001C2694"/>
    <w:rsid w:val="001D1654"/>
    <w:rsid w:val="001D1BF4"/>
    <w:rsid w:val="001D20E2"/>
    <w:rsid w:val="001D3B08"/>
    <w:rsid w:val="001D7B5B"/>
    <w:rsid w:val="001E7763"/>
    <w:rsid w:val="001F59F6"/>
    <w:rsid w:val="00204FD2"/>
    <w:rsid w:val="00210352"/>
    <w:rsid w:val="0021283A"/>
    <w:rsid w:val="00213DDE"/>
    <w:rsid w:val="00214C25"/>
    <w:rsid w:val="00227B42"/>
    <w:rsid w:val="00227BBB"/>
    <w:rsid w:val="002364DF"/>
    <w:rsid w:val="002374A6"/>
    <w:rsid w:val="0024537C"/>
    <w:rsid w:val="002469F9"/>
    <w:rsid w:val="00251350"/>
    <w:rsid w:val="00255201"/>
    <w:rsid w:val="00257CB9"/>
    <w:rsid w:val="00261607"/>
    <w:rsid w:val="00262E0C"/>
    <w:rsid w:val="00262F18"/>
    <w:rsid w:val="00264557"/>
    <w:rsid w:val="00265CC3"/>
    <w:rsid w:val="002677AE"/>
    <w:rsid w:val="00281A95"/>
    <w:rsid w:val="00281F93"/>
    <w:rsid w:val="00283BDE"/>
    <w:rsid w:val="002A012B"/>
    <w:rsid w:val="002A48F5"/>
    <w:rsid w:val="002B7BF7"/>
    <w:rsid w:val="002D7D63"/>
    <w:rsid w:val="002D7EE1"/>
    <w:rsid w:val="002E1A6A"/>
    <w:rsid w:val="002E2216"/>
    <w:rsid w:val="002F696A"/>
    <w:rsid w:val="003012EF"/>
    <w:rsid w:val="00310C52"/>
    <w:rsid w:val="00312666"/>
    <w:rsid w:val="003147BA"/>
    <w:rsid w:val="0031752F"/>
    <w:rsid w:val="00337006"/>
    <w:rsid w:val="00340BDD"/>
    <w:rsid w:val="00342325"/>
    <w:rsid w:val="0034531E"/>
    <w:rsid w:val="003635B9"/>
    <w:rsid w:val="00365182"/>
    <w:rsid w:val="003836CD"/>
    <w:rsid w:val="003864EE"/>
    <w:rsid w:val="0038711E"/>
    <w:rsid w:val="003C4354"/>
    <w:rsid w:val="003C729A"/>
    <w:rsid w:val="003D1E4D"/>
    <w:rsid w:val="003D6950"/>
    <w:rsid w:val="003F057F"/>
    <w:rsid w:val="003F4565"/>
    <w:rsid w:val="003F5844"/>
    <w:rsid w:val="004010E7"/>
    <w:rsid w:val="00402583"/>
    <w:rsid w:val="004072F9"/>
    <w:rsid w:val="004136E1"/>
    <w:rsid w:val="00417035"/>
    <w:rsid w:val="004329A8"/>
    <w:rsid w:val="00454483"/>
    <w:rsid w:val="0046145B"/>
    <w:rsid w:val="00474812"/>
    <w:rsid w:val="00491680"/>
    <w:rsid w:val="00493D4B"/>
    <w:rsid w:val="004968EE"/>
    <w:rsid w:val="00496CD9"/>
    <w:rsid w:val="004A322F"/>
    <w:rsid w:val="004A5E3A"/>
    <w:rsid w:val="004B151C"/>
    <w:rsid w:val="004B5D41"/>
    <w:rsid w:val="004C3623"/>
    <w:rsid w:val="004D0728"/>
    <w:rsid w:val="004D37DA"/>
    <w:rsid w:val="004D6712"/>
    <w:rsid w:val="004D7043"/>
    <w:rsid w:val="004D7F1C"/>
    <w:rsid w:val="00502DEE"/>
    <w:rsid w:val="00511A77"/>
    <w:rsid w:val="00512740"/>
    <w:rsid w:val="00516CBA"/>
    <w:rsid w:val="0052081F"/>
    <w:rsid w:val="0052137C"/>
    <w:rsid w:val="00521AD3"/>
    <w:rsid w:val="005222A6"/>
    <w:rsid w:val="00522826"/>
    <w:rsid w:val="00530DCF"/>
    <w:rsid w:val="005313EA"/>
    <w:rsid w:val="005437A2"/>
    <w:rsid w:val="00543D69"/>
    <w:rsid w:val="00554B22"/>
    <w:rsid w:val="00554F87"/>
    <w:rsid w:val="00556544"/>
    <w:rsid w:val="00571F37"/>
    <w:rsid w:val="00574A60"/>
    <w:rsid w:val="00575B53"/>
    <w:rsid w:val="00584BFF"/>
    <w:rsid w:val="00587127"/>
    <w:rsid w:val="00590C0D"/>
    <w:rsid w:val="005957C9"/>
    <w:rsid w:val="00595BC5"/>
    <w:rsid w:val="00596508"/>
    <w:rsid w:val="005A5734"/>
    <w:rsid w:val="005B503E"/>
    <w:rsid w:val="005B7438"/>
    <w:rsid w:val="005C2483"/>
    <w:rsid w:val="005D299C"/>
    <w:rsid w:val="005F1D0B"/>
    <w:rsid w:val="00600C66"/>
    <w:rsid w:val="00603FC1"/>
    <w:rsid w:val="00606501"/>
    <w:rsid w:val="00607CB1"/>
    <w:rsid w:val="00617F86"/>
    <w:rsid w:val="006328D1"/>
    <w:rsid w:val="006336AD"/>
    <w:rsid w:val="00645A29"/>
    <w:rsid w:val="00645D06"/>
    <w:rsid w:val="006515EF"/>
    <w:rsid w:val="00653179"/>
    <w:rsid w:val="00672ED5"/>
    <w:rsid w:val="006820C7"/>
    <w:rsid w:val="006A76E6"/>
    <w:rsid w:val="006B4C2B"/>
    <w:rsid w:val="006C3A58"/>
    <w:rsid w:val="006C5A78"/>
    <w:rsid w:val="006C723E"/>
    <w:rsid w:val="006E653B"/>
    <w:rsid w:val="006E6A49"/>
    <w:rsid w:val="00702BDC"/>
    <w:rsid w:val="00704687"/>
    <w:rsid w:val="00715DCD"/>
    <w:rsid w:val="007172A6"/>
    <w:rsid w:val="00721175"/>
    <w:rsid w:val="0072217E"/>
    <w:rsid w:val="007238F8"/>
    <w:rsid w:val="00727883"/>
    <w:rsid w:val="00742C8E"/>
    <w:rsid w:val="00743F75"/>
    <w:rsid w:val="00753322"/>
    <w:rsid w:val="007659BA"/>
    <w:rsid w:val="007710E4"/>
    <w:rsid w:val="0077265C"/>
    <w:rsid w:val="007748B9"/>
    <w:rsid w:val="00786CE8"/>
    <w:rsid w:val="007949DB"/>
    <w:rsid w:val="00797CAE"/>
    <w:rsid w:val="007A1CB3"/>
    <w:rsid w:val="007A78B9"/>
    <w:rsid w:val="007B3171"/>
    <w:rsid w:val="007D50CD"/>
    <w:rsid w:val="007E438D"/>
    <w:rsid w:val="007E4ED5"/>
    <w:rsid w:val="007E62B9"/>
    <w:rsid w:val="007F124D"/>
    <w:rsid w:val="007F50B3"/>
    <w:rsid w:val="008031BA"/>
    <w:rsid w:val="0080389B"/>
    <w:rsid w:val="008149DA"/>
    <w:rsid w:val="008165F0"/>
    <w:rsid w:val="00817563"/>
    <w:rsid w:val="00817E8B"/>
    <w:rsid w:val="008215E5"/>
    <w:rsid w:val="008254BB"/>
    <w:rsid w:val="00841574"/>
    <w:rsid w:val="00844E04"/>
    <w:rsid w:val="008516D7"/>
    <w:rsid w:val="00854223"/>
    <w:rsid w:val="00856191"/>
    <w:rsid w:val="0085676B"/>
    <w:rsid w:val="008612F7"/>
    <w:rsid w:val="00866974"/>
    <w:rsid w:val="0087121E"/>
    <w:rsid w:val="00872E3F"/>
    <w:rsid w:val="0088423E"/>
    <w:rsid w:val="008874B4"/>
    <w:rsid w:val="008908E7"/>
    <w:rsid w:val="0089208C"/>
    <w:rsid w:val="00895D9B"/>
    <w:rsid w:val="008A193E"/>
    <w:rsid w:val="008B0A16"/>
    <w:rsid w:val="008B40AF"/>
    <w:rsid w:val="008B75D3"/>
    <w:rsid w:val="008C4059"/>
    <w:rsid w:val="008D0F79"/>
    <w:rsid w:val="008D62CD"/>
    <w:rsid w:val="008D7C43"/>
    <w:rsid w:val="008E33AB"/>
    <w:rsid w:val="008E4723"/>
    <w:rsid w:val="008F273C"/>
    <w:rsid w:val="008F40F2"/>
    <w:rsid w:val="00901213"/>
    <w:rsid w:val="0090332E"/>
    <w:rsid w:val="00904D78"/>
    <w:rsid w:val="00911105"/>
    <w:rsid w:val="00913E1D"/>
    <w:rsid w:val="00917A8B"/>
    <w:rsid w:val="009377E2"/>
    <w:rsid w:val="009377F4"/>
    <w:rsid w:val="0094361F"/>
    <w:rsid w:val="00943760"/>
    <w:rsid w:val="0095020C"/>
    <w:rsid w:val="00951383"/>
    <w:rsid w:val="009541D6"/>
    <w:rsid w:val="00956BC3"/>
    <w:rsid w:val="009774BB"/>
    <w:rsid w:val="0097764F"/>
    <w:rsid w:val="0098391B"/>
    <w:rsid w:val="00991400"/>
    <w:rsid w:val="00994521"/>
    <w:rsid w:val="00994C5F"/>
    <w:rsid w:val="00996681"/>
    <w:rsid w:val="009A3C26"/>
    <w:rsid w:val="009A6B06"/>
    <w:rsid w:val="009B131A"/>
    <w:rsid w:val="009C03A4"/>
    <w:rsid w:val="009C36BC"/>
    <w:rsid w:val="009C4AD9"/>
    <w:rsid w:val="009D068C"/>
    <w:rsid w:val="009D2753"/>
    <w:rsid w:val="009D5477"/>
    <w:rsid w:val="009D69FB"/>
    <w:rsid w:val="009E0BD0"/>
    <w:rsid w:val="009E0F3F"/>
    <w:rsid w:val="009F2814"/>
    <w:rsid w:val="009F487A"/>
    <w:rsid w:val="009F6507"/>
    <w:rsid w:val="009F66B4"/>
    <w:rsid w:val="009F796A"/>
    <w:rsid w:val="00A021FB"/>
    <w:rsid w:val="00A138F7"/>
    <w:rsid w:val="00A20CBB"/>
    <w:rsid w:val="00A24E05"/>
    <w:rsid w:val="00A25CFF"/>
    <w:rsid w:val="00A344E7"/>
    <w:rsid w:val="00A418E4"/>
    <w:rsid w:val="00A41C4A"/>
    <w:rsid w:val="00A45437"/>
    <w:rsid w:val="00A47D71"/>
    <w:rsid w:val="00A619D4"/>
    <w:rsid w:val="00A64E1A"/>
    <w:rsid w:val="00A678C1"/>
    <w:rsid w:val="00A77560"/>
    <w:rsid w:val="00A80AAF"/>
    <w:rsid w:val="00A83782"/>
    <w:rsid w:val="00A85F33"/>
    <w:rsid w:val="00AA6066"/>
    <w:rsid w:val="00AB2E95"/>
    <w:rsid w:val="00AB44D4"/>
    <w:rsid w:val="00AB6894"/>
    <w:rsid w:val="00AD02A3"/>
    <w:rsid w:val="00AD216A"/>
    <w:rsid w:val="00AE1CC4"/>
    <w:rsid w:val="00AE3AEB"/>
    <w:rsid w:val="00AF2466"/>
    <w:rsid w:val="00AF5A81"/>
    <w:rsid w:val="00B02701"/>
    <w:rsid w:val="00B23525"/>
    <w:rsid w:val="00B312D4"/>
    <w:rsid w:val="00B318FD"/>
    <w:rsid w:val="00B41FA5"/>
    <w:rsid w:val="00B42F06"/>
    <w:rsid w:val="00B50F4F"/>
    <w:rsid w:val="00B639E1"/>
    <w:rsid w:val="00B661DC"/>
    <w:rsid w:val="00B7720C"/>
    <w:rsid w:val="00B83590"/>
    <w:rsid w:val="00B9787F"/>
    <w:rsid w:val="00B979F8"/>
    <w:rsid w:val="00BA0C3B"/>
    <w:rsid w:val="00BA7C2D"/>
    <w:rsid w:val="00BB1448"/>
    <w:rsid w:val="00BB31F2"/>
    <w:rsid w:val="00BB3C75"/>
    <w:rsid w:val="00BC1965"/>
    <w:rsid w:val="00BC66C5"/>
    <w:rsid w:val="00BD365F"/>
    <w:rsid w:val="00BD47C3"/>
    <w:rsid w:val="00BD5754"/>
    <w:rsid w:val="00BE770E"/>
    <w:rsid w:val="00BF3A57"/>
    <w:rsid w:val="00C01692"/>
    <w:rsid w:val="00C034F2"/>
    <w:rsid w:val="00C07326"/>
    <w:rsid w:val="00C075C9"/>
    <w:rsid w:val="00C131E7"/>
    <w:rsid w:val="00C229C7"/>
    <w:rsid w:val="00C23FD0"/>
    <w:rsid w:val="00C24016"/>
    <w:rsid w:val="00C25459"/>
    <w:rsid w:val="00C40CA4"/>
    <w:rsid w:val="00C45D1C"/>
    <w:rsid w:val="00C46EF6"/>
    <w:rsid w:val="00C5622A"/>
    <w:rsid w:val="00C566A3"/>
    <w:rsid w:val="00C73080"/>
    <w:rsid w:val="00C7490E"/>
    <w:rsid w:val="00C75A67"/>
    <w:rsid w:val="00C80051"/>
    <w:rsid w:val="00C90D1A"/>
    <w:rsid w:val="00CA52AB"/>
    <w:rsid w:val="00CB76DD"/>
    <w:rsid w:val="00CC279C"/>
    <w:rsid w:val="00CC6CAB"/>
    <w:rsid w:val="00CD5D30"/>
    <w:rsid w:val="00CD6FA3"/>
    <w:rsid w:val="00CD783D"/>
    <w:rsid w:val="00CE2B47"/>
    <w:rsid w:val="00CE5C1D"/>
    <w:rsid w:val="00CF204B"/>
    <w:rsid w:val="00D0192B"/>
    <w:rsid w:val="00D03AE6"/>
    <w:rsid w:val="00D051CC"/>
    <w:rsid w:val="00D0628C"/>
    <w:rsid w:val="00D16AB6"/>
    <w:rsid w:val="00D16EDD"/>
    <w:rsid w:val="00D1747F"/>
    <w:rsid w:val="00D21186"/>
    <w:rsid w:val="00D21DF4"/>
    <w:rsid w:val="00D404A1"/>
    <w:rsid w:val="00D43742"/>
    <w:rsid w:val="00D464D0"/>
    <w:rsid w:val="00D55BB4"/>
    <w:rsid w:val="00D55DA9"/>
    <w:rsid w:val="00D6574B"/>
    <w:rsid w:val="00D70471"/>
    <w:rsid w:val="00D7755A"/>
    <w:rsid w:val="00D85F34"/>
    <w:rsid w:val="00DA1B0E"/>
    <w:rsid w:val="00DA4B19"/>
    <w:rsid w:val="00DB0ECC"/>
    <w:rsid w:val="00DB10C0"/>
    <w:rsid w:val="00DC23AB"/>
    <w:rsid w:val="00DC4949"/>
    <w:rsid w:val="00DD0826"/>
    <w:rsid w:val="00DD30A0"/>
    <w:rsid w:val="00DD3E47"/>
    <w:rsid w:val="00DE0CFF"/>
    <w:rsid w:val="00DE3705"/>
    <w:rsid w:val="00DE5947"/>
    <w:rsid w:val="00DF351E"/>
    <w:rsid w:val="00DF56AD"/>
    <w:rsid w:val="00E00273"/>
    <w:rsid w:val="00E013A1"/>
    <w:rsid w:val="00E016AA"/>
    <w:rsid w:val="00E300B2"/>
    <w:rsid w:val="00E35850"/>
    <w:rsid w:val="00E40312"/>
    <w:rsid w:val="00E40949"/>
    <w:rsid w:val="00E42F9B"/>
    <w:rsid w:val="00E536D1"/>
    <w:rsid w:val="00E53B47"/>
    <w:rsid w:val="00E60D81"/>
    <w:rsid w:val="00E646D6"/>
    <w:rsid w:val="00E65F33"/>
    <w:rsid w:val="00E82199"/>
    <w:rsid w:val="00E91FF9"/>
    <w:rsid w:val="00E93C53"/>
    <w:rsid w:val="00E97A7C"/>
    <w:rsid w:val="00EA020F"/>
    <w:rsid w:val="00EA1302"/>
    <w:rsid w:val="00EA1694"/>
    <w:rsid w:val="00EA1BB6"/>
    <w:rsid w:val="00EB1BC3"/>
    <w:rsid w:val="00EB3E9B"/>
    <w:rsid w:val="00ED1688"/>
    <w:rsid w:val="00EF1E12"/>
    <w:rsid w:val="00EF3E1F"/>
    <w:rsid w:val="00F16F7F"/>
    <w:rsid w:val="00F1703B"/>
    <w:rsid w:val="00F26DED"/>
    <w:rsid w:val="00F312B9"/>
    <w:rsid w:val="00F335B7"/>
    <w:rsid w:val="00F4383A"/>
    <w:rsid w:val="00F7239A"/>
    <w:rsid w:val="00F7707B"/>
    <w:rsid w:val="00F774E9"/>
    <w:rsid w:val="00F80A86"/>
    <w:rsid w:val="00FA0B46"/>
    <w:rsid w:val="00FC36DE"/>
    <w:rsid w:val="00FD3918"/>
    <w:rsid w:val="00FE1E64"/>
    <w:rsid w:val="00FE5EC3"/>
    <w:rsid w:val="00FE69A5"/>
    <w:rsid w:val="00FF186D"/>
    <w:rsid w:val="0300474F"/>
    <w:rsid w:val="03BF761A"/>
    <w:rsid w:val="0B88702D"/>
    <w:rsid w:val="0C082D1C"/>
    <w:rsid w:val="1299346A"/>
    <w:rsid w:val="145A465F"/>
    <w:rsid w:val="16A40CA3"/>
    <w:rsid w:val="26B95398"/>
    <w:rsid w:val="2945532E"/>
    <w:rsid w:val="2A6A2D86"/>
    <w:rsid w:val="2BA678EF"/>
    <w:rsid w:val="2EEA5544"/>
    <w:rsid w:val="33A312C2"/>
    <w:rsid w:val="3BE6787C"/>
    <w:rsid w:val="3E8D7610"/>
    <w:rsid w:val="3EDF0D70"/>
    <w:rsid w:val="3FF785F0"/>
    <w:rsid w:val="449C266A"/>
    <w:rsid w:val="4CB4026C"/>
    <w:rsid w:val="57FF2744"/>
    <w:rsid w:val="5A412032"/>
    <w:rsid w:val="5C567B44"/>
    <w:rsid w:val="628E0928"/>
    <w:rsid w:val="6A761B33"/>
    <w:rsid w:val="6D2130DE"/>
    <w:rsid w:val="6DDD500E"/>
    <w:rsid w:val="6DFEE076"/>
    <w:rsid w:val="6F94727E"/>
    <w:rsid w:val="720158D8"/>
    <w:rsid w:val="73C831F2"/>
    <w:rsid w:val="74BB470B"/>
    <w:rsid w:val="75072B23"/>
    <w:rsid w:val="77D415F4"/>
    <w:rsid w:val="77E10ADC"/>
    <w:rsid w:val="7D011AA3"/>
    <w:rsid w:val="7FDC0F5F"/>
    <w:rsid w:val="A5BF1424"/>
    <w:rsid w:val="B377C39E"/>
    <w:rsid w:val="BBF33A51"/>
    <w:rsid w:val="BFFCC97F"/>
    <w:rsid w:val="D7EF617A"/>
    <w:rsid w:val="DF3CDDBD"/>
    <w:rsid w:val="DF9700B2"/>
    <w:rsid w:val="FEFC1D28"/>
    <w:rsid w:val="FF6F9DF5"/>
    <w:rsid w:val="FFDFD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33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2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5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6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7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8"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20">
    <w:name w:val="Strong"/>
    <w:basedOn w:val="19"/>
    <w:qFormat/>
    <w:uiPriority w:val="22"/>
    <w:rPr>
      <w:b/>
      <w:bCs/>
    </w:rPr>
  </w:style>
  <w:style w:type="character" w:styleId="21">
    <w:name w:val="Hyperlink"/>
    <w:basedOn w:val="19"/>
    <w:unhideWhenUsed/>
    <w:qFormat/>
    <w:uiPriority w:val="99"/>
    <w:rPr>
      <w:color w:val="0000FF"/>
      <w:u w:val="single"/>
    </w:rPr>
  </w:style>
  <w:style w:type="character" w:customStyle="1" w:styleId="23">
    <w:name w:val="页眉 字符"/>
    <w:basedOn w:val="19"/>
    <w:link w:val="14"/>
    <w:qFormat/>
    <w:uiPriority w:val="99"/>
    <w:rPr>
      <w:sz w:val="18"/>
      <w:szCs w:val="18"/>
    </w:rPr>
  </w:style>
  <w:style w:type="character" w:customStyle="1" w:styleId="24">
    <w:name w:val="页脚 字符"/>
    <w:basedOn w:val="19"/>
    <w:link w:val="13"/>
    <w:qFormat/>
    <w:uiPriority w:val="99"/>
    <w:rPr>
      <w:sz w:val="18"/>
      <w:szCs w:val="18"/>
    </w:rPr>
  </w:style>
  <w:style w:type="character" w:customStyle="1" w:styleId="25">
    <w:name w:val="批注框文本 字符"/>
    <w:basedOn w:val="19"/>
    <w:link w:val="12"/>
    <w:semiHidden/>
    <w:qFormat/>
    <w:uiPriority w:val="99"/>
    <w:rPr>
      <w:sz w:val="18"/>
      <w:szCs w:val="18"/>
    </w:rPr>
  </w:style>
  <w:style w:type="paragraph" w:customStyle="1" w:styleId="2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27">
    <w:name w:val="标题 1 字符"/>
    <w:link w:val="2"/>
    <w:qFormat/>
    <w:uiPriority w:val="9"/>
    <w:rPr>
      <w:b/>
      <w:kern w:val="44"/>
      <w:sz w:val="44"/>
    </w:rPr>
  </w:style>
  <w:style w:type="paragraph" w:customStyle="1" w:styleId="2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9">
    <w:name w:val="正文_0"/>
    <w:qFormat/>
    <w:uiPriority w:val="0"/>
    <w:pPr>
      <w:widowControl w:val="0"/>
      <w:spacing w:line="360" w:lineRule="auto"/>
      <w:ind w:firstLine="420" w:firstLineChars="200"/>
      <w:jc w:val="both"/>
    </w:pPr>
    <w:rPr>
      <w:rFonts w:cs="Times New Roman" w:asciiTheme="minorEastAsia" w:hAnsiTheme="minorEastAsia" w:eastAsiaTheme="minorEastAsia"/>
      <w:snapToGrid w:val="0"/>
      <w:kern w:val="2"/>
      <w:sz w:val="21"/>
      <w:szCs w:val="21"/>
      <w:lang w:val="en-US" w:eastAsia="zh-CN" w:bidi="ar-SA"/>
    </w:rPr>
  </w:style>
  <w:style w:type="character" w:customStyle="1" w:styleId="30">
    <w:name w:val="标题 2 字符"/>
    <w:basedOn w:val="19"/>
    <w:link w:val="3"/>
    <w:qFormat/>
    <w:uiPriority w:val="9"/>
    <w:rPr>
      <w:rFonts w:ascii="Arial" w:hAnsi="Arial" w:eastAsia="黑体" w:cstheme="minorBidi"/>
      <w:b/>
      <w:kern w:val="2"/>
      <w:sz w:val="32"/>
      <w:szCs w:val="22"/>
    </w:rPr>
  </w:style>
  <w:style w:type="character" w:customStyle="1" w:styleId="31">
    <w:name w:val="标题 4 字符"/>
    <w:basedOn w:val="19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2">
    <w:name w:val="标题 5 字符"/>
    <w:basedOn w:val="19"/>
    <w:link w:val="6"/>
    <w:qFormat/>
    <w:uiPriority w:val="9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character" w:customStyle="1" w:styleId="33">
    <w:name w:val="标题 3 字符"/>
    <w:basedOn w:val="19"/>
    <w:link w:val="4"/>
    <w:qFormat/>
    <w:uiPriority w:val="9"/>
    <w:rPr>
      <w:rFonts w:asciiTheme="minorHAnsi" w:hAnsiTheme="minorHAnsi" w:eastAsiaTheme="minorEastAsia" w:cstheme="minorBidi"/>
      <w:b/>
      <w:kern w:val="2"/>
      <w:sz w:val="32"/>
      <w:szCs w:val="22"/>
    </w:rPr>
  </w:style>
  <w:style w:type="paragraph" w:customStyle="1" w:styleId="3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character" w:customStyle="1" w:styleId="35">
    <w:name w:val="标题 6 字符"/>
    <w:basedOn w:val="19"/>
    <w:link w:val="7"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6">
    <w:name w:val="标题 7 字符"/>
    <w:basedOn w:val="19"/>
    <w:link w:val="8"/>
    <w:qFormat/>
    <w:uiPriority w:val="9"/>
    <w:rPr>
      <w:rFonts w:asciiTheme="minorHAnsi" w:hAnsiTheme="minorHAnsi" w:eastAsiaTheme="minorEastAsia" w:cstheme="minorBidi"/>
      <w:b/>
      <w:bCs/>
      <w:kern w:val="2"/>
      <w:sz w:val="24"/>
      <w:szCs w:val="24"/>
    </w:rPr>
  </w:style>
  <w:style w:type="character" w:customStyle="1" w:styleId="37">
    <w:name w:val="标题 8 字符"/>
    <w:basedOn w:val="19"/>
    <w:link w:val="9"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38">
    <w:name w:val="标题 9 字符"/>
    <w:basedOn w:val="19"/>
    <w:link w:val="10"/>
    <w:qFormat/>
    <w:uiPriority w:val="9"/>
    <w:rPr>
      <w:rFonts w:asciiTheme="majorHAnsi" w:hAnsiTheme="majorHAnsi" w:eastAsiaTheme="majorEastAsia" w:cstheme="majorBidi"/>
      <w:kern w:val="2"/>
      <w:sz w:val="21"/>
      <w:szCs w:val="21"/>
    </w:rPr>
  </w:style>
  <w:style w:type="paragraph" w:customStyle="1" w:styleId="39">
    <w:name w:val="四川网监正文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bCs/>
      <w:kern w:val="44"/>
      <w:sz w:val="24"/>
      <w:szCs w:val="44"/>
      <w:lang w:val="en-US" w:eastAsia="zh-CN" w:bidi="ar-SA"/>
    </w:rPr>
  </w:style>
  <w:style w:type="paragraph" w:styleId="40">
    <w:name w:val="List Paragraph"/>
    <w:basedOn w:val="1"/>
    <w:qFormat/>
    <w:uiPriority w:val="99"/>
    <w:pPr>
      <w:ind w:firstLine="420" w:firstLineChars="200"/>
    </w:pPr>
  </w:style>
  <w:style w:type="paragraph" w:customStyle="1" w:styleId="41">
    <w:name w:val="我的标题1级"/>
    <w:basedOn w:val="2"/>
    <w:link w:val="43"/>
    <w:qFormat/>
    <w:uiPriority w:val="0"/>
    <w:pPr>
      <w:spacing w:before="0" w:after="0" w:line="600" w:lineRule="exact"/>
    </w:pPr>
    <w:rPr>
      <w:rFonts w:ascii="黑体" w:hAnsi="黑体" w:eastAsia="黑体"/>
      <w:sz w:val="32"/>
      <w:szCs w:val="32"/>
    </w:rPr>
  </w:style>
  <w:style w:type="paragraph" w:customStyle="1" w:styleId="42">
    <w:name w:val="我的标题2级"/>
    <w:basedOn w:val="41"/>
    <w:link w:val="45"/>
    <w:qFormat/>
    <w:uiPriority w:val="0"/>
  </w:style>
  <w:style w:type="character" w:customStyle="1" w:styleId="43">
    <w:name w:val="我的标题1级 字符"/>
    <w:basedOn w:val="27"/>
    <w:link w:val="41"/>
    <w:qFormat/>
    <w:uiPriority w:val="0"/>
    <w:rPr>
      <w:rFonts w:ascii="黑体" w:hAnsi="黑体" w:eastAsia="黑体" w:cstheme="minorBidi"/>
      <w:kern w:val="44"/>
      <w:sz w:val="32"/>
      <w:szCs w:val="32"/>
    </w:rPr>
  </w:style>
  <w:style w:type="paragraph" w:customStyle="1" w:styleId="44">
    <w:name w:val="我的标题3级"/>
    <w:basedOn w:val="42"/>
    <w:link w:val="46"/>
    <w:qFormat/>
    <w:uiPriority w:val="0"/>
  </w:style>
  <w:style w:type="character" w:customStyle="1" w:styleId="45">
    <w:name w:val="我的标题2级 字符"/>
    <w:basedOn w:val="43"/>
    <w:link w:val="42"/>
    <w:qFormat/>
    <w:uiPriority w:val="0"/>
    <w:rPr>
      <w:rFonts w:ascii="黑体" w:hAnsi="黑体" w:eastAsia="黑体" w:cstheme="minorBidi"/>
      <w:kern w:val="44"/>
      <w:sz w:val="32"/>
      <w:szCs w:val="32"/>
    </w:rPr>
  </w:style>
  <w:style w:type="character" w:customStyle="1" w:styleId="46">
    <w:name w:val="我的标题3级 字符"/>
    <w:basedOn w:val="45"/>
    <w:link w:val="44"/>
    <w:qFormat/>
    <w:uiPriority w:val="0"/>
    <w:rPr>
      <w:rFonts w:ascii="黑体" w:hAnsi="黑体" w:eastAsia="黑体" w:cstheme="minorBidi"/>
      <w:kern w:val="44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8FAF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1740</Words>
  <Characters>1861</Characters>
  <Lines>22</Lines>
  <Paragraphs>6</Paragraphs>
  <TotalTime>18</TotalTime>
  <ScaleCrop>false</ScaleCrop>
  <LinksUpToDate>false</LinksUpToDate>
  <CharactersWithSpaces>1932</CharactersWithSpaces>
  <Application>WPS Office_10.8.0.7146_F1E327BC-269C-435d-A152-05C5408002CA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2024-09-20T17:49:00Z</dcterms:created>
  <dcterms:modified xsi:type="dcterms:W3CDTF">2025-07-22T15:54:43Z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2052-10.8.0.7146</vt:lpwstr>
  </property>
  <property fmtid="{D5CDD505-2E9C-101B-9397-08002B2CF9AE}" pid="3" name="ICV">
    <vt:lpwstr>331318396E2D4B6789B3CBBA90698DE2_12</vt:lpwstr>
  </property>
</Properties>
</file>